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  <w:rPr>
          <w:rFonts w:hint="eastAsia" w:ascii="方正小标宋简体" w:hAnsi="方正小标宋简体" w:eastAsia="方正小标宋简体" w:cs="方正小标宋简体"/>
          <w:spacing w:val="-57"/>
          <w:w w:val="66"/>
          <w:kern w:val="0"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spacing w:val="-57"/>
          <w:w w:val="66"/>
          <w:kern w:val="0"/>
          <w:sz w:val="84"/>
          <w:szCs w:val="84"/>
        </w:rPr>
        <w:t>宝鸡市创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pacing w:val="-57"/>
          <w:w w:val="66"/>
          <w:kern w:val="0"/>
          <w:sz w:val="84"/>
          <w:szCs w:val="84"/>
        </w:rPr>
        <w:t>建青年文明号活动组委会办公室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distribute"/>
        <w:textAlignment w:val="auto"/>
      </w:pPr>
    </w:p>
    <w:p>
      <w:pPr>
        <w:spacing w:line="52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宝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市青文办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发〔</w:t>
      </w:r>
      <w:r>
        <w:rPr>
          <w:rFonts w:ascii="仿宋_GB2312" w:eastAsia="仿宋_GB2312"/>
          <w:color w:val="000000" w:themeColor="text1"/>
          <w:sz w:val="32"/>
          <w:szCs w:val="32"/>
        </w:rPr>
        <w:t>20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〕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号</w:t>
      </w:r>
    </w:p>
    <w:p>
      <w:pPr>
        <w:spacing w:line="520" w:lineRule="exact"/>
        <w:rPr>
          <w:rFonts w:ascii="仿宋_GB231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161290</wp:posOffset>
                </wp:positionV>
                <wp:extent cx="5372100" cy="0"/>
                <wp:effectExtent l="0" t="0" r="0" b="0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-0.75pt;margin-top:12.7pt;height:0pt;width:423pt;z-index:251660288;mso-width-relative:page;mso-height-relative:page;" filled="f" stroked="t" coordsize="21600,21600" o:gfxdata="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iFIjNcAAAAIAQAADwAA&#10;AAAAAAABACAAAAAiAAAAZHJzL2Rvd25yZXYueG1sUEsBAhQAFAAAAAgAh07iQIeWHWveAQAA6AMA&#10;AA4AAAAAAAAAAQAgAAAAJgEAAGRycy9lMm9Eb2MueG1sUEsFBgAAAAAGAAYAWQEAAHY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关于印发《宝鸡市青年文明号考核量化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评分表（试行）》的通知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市创建青年文明号活动组委会各成员单位，各团县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区委，市直及驻宝部省属单位团组织：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对全市青年文明号活动的指导和管理，不断提升创建工作科学化、规范化水平，市组委会办公室依据《宝鸡市青年文明号管理办法》（2018年修订），在深入调研和征求意见的基础上，制定了《宝鸡市青年文明号考核量化评分表（试行）》，将作为下一步全市青年文明号创建活动指导规范。现予以印发，请结合工作实际，认真贯彻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附：《宝鸡市青年文明号考核量化评分表（试行）》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宝鸡市创建青年文明号活动组委会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办公室（代章）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4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2022年2月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《宝鸡市青年文明号考核量化评分表》（试行）</w:t>
      </w:r>
    </w:p>
    <w:p>
      <w:pPr>
        <w:pStyle w:val="2"/>
      </w:pPr>
    </w:p>
    <w:tbl>
      <w:tblPr>
        <w:tblStyle w:val="8"/>
        <w:tblW w:w="8984" w:type="dxa"/>
        <w:tblCellSpacing w:w="0" w:type="dxa"/>
        <w:tblInd w:w="1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985"/>
        <w:gridCol w:w="360"/>
        <w:gridCol w:w="1260"/>
        <w:gridCol w:w="1080"/>
        <w:gridCol w:w="1430"/>
        <w:gridCol w:w="855"/>
        <w:gridCol w:w="21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Header/>
          <w:tblCellSpacing w:w="0" w:type="dxa"/>
        </w:trPr>
        <w:tc>
          <w:tcPr>
            <w:tcW w:w="18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集体名称</w:t>
            </w:r>
          </w:p>
        </w:tc>
        <w:tc>
          <w:tcPr>
            <w:tcW w:w="7184" w:type="dxa"/>
            <w:gridSpan w:val="6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（单位盖章）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Header/>
          <w:tblCellSpacing w:w="0" w:type="dxa"/>
        </w:trPr>
        <w:tc>
          <w:tcPr>
            <w:tcW w:w="18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所属行业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/推荐单位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创建情况/年度</w:t>
            </w: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类型</w:t>
            </w:r>
          </w:p>
        </w:tc>
        <w:tc>
          <w:tcPr>
            <w:tcW w:w="2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  <w:tblCellSpacing w:w="0" w:type="dxa"/>
        </w:trPr>
        <w:tc>
          <w:tcPr>
            <w:tcW w:w="81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︻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否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决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项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︼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自然条件</w:t>
            </w:r>
          </w:p>
        </w:tc>
        <w:tc>
          <w:tcPr>
            <w:tcW w:w="4985" w:type="dxa"/>
            <w:gridSpan w:val="5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①集体人数低于6人，超过200人；②35周岁以下青年人数低于集体总人数的60%；③集体负责人中年龄均超过40周岁。</w:t>
            </w:r>
          </w:p>
        </w:tc>
        <w:tc>
          <w:tcPr>
            <w:tcW w:w="2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  <w:tblCellSpacing w:w="0" w:type="dxa"/>
        </w:trPr>
        <w:tc>
          <w:tcPr>
            <w:tcW w:w="81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管理工作</w:t>
            </w:r>
          </w:p>
        </w:tc>
        <w:tc>
          <w:tcPr>
            <w:tcW w:w="4985" w:type="dxa"/>
            <w:gridSpan w:val="5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④集体中有违法或严重违纪现象发生；⑤在日常工作中发生重大责任事故；⑥被新闻媒体曝光，群众反映强烈，经调查情况属实；</w:t>
            </w:r>
            <w:r>
              <w:rPr>
                <w:rFonts w:asciiTheme="minorEastAsia" w:hAnsiTheme="minorEastAsia" w:cstheme="minorEastAsia"/>
                <w:sz w:val="24"/>
              </w:rPr>
              <w:fldChar w:fldCharType="begin"/>
            </w:r>
            <w:r>
              <w:rPr>
                <w:rFonts w:asciiTheme="minorEastAsia" w:hAnsiTheme="minorEastAsia" w:cstheme="minorEastAsia"/>
                <w:sz w:val="24"/>
              </w:rPr>
              <w:instrText xml:space="preserve"> </w:instrText>
            </w:r>
            <w:r>
              <w:rPr>
                <w:rFonts w:hint="eastAsia" w:asciiTheme="minorEastAsia" w:hAnsiTheme="minorEastAsia" w:cstheme="minorEastAsia"/>
                <w:sz w:val="24"/>
              </w:rPr>
              <w:instrText xml:space="preserve">= 7 \* GB3</w:instrText>
            </w:r>
            <w:r>
              <w:rPr>
                <w:rFonts w:asciiTheme="minorEastAsia" w:hAnsiTheme="minorEastAsia" w:cstheme="minorEastAsia"/>
                <w:sz w:val="24"/>
              </w:rPr>
              <w:instrText xml:space="preserve"> </w:instrText>
            </w:r>
            <w:r>
              <w:rPr>
                <w:rFonts w:asciiTheme="minorEastAsia" w:hAnsiTheme="minorEastAsia" w:cstheme="minorEastAsia"/>
                <w:sz w:val="24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sz w:val="24"/>
              </w:rPr>
              <w:t>⑦</w:t>
            </w:r>
            <w:r>
              <w:rPr>
                <w:rFonts w:asciiTheme="minorEastAsia" w:hAnsiTheme="minorEastAsia" w:cstheme="minorEastAsia"/>
                <w:sz w:val="24"/>
              </w:rPr>
              <w:fldChar w:fldCharType="end"/>
            </w:r>
            <w:r>
              <w:rPr>
                <w:rFonts w:hint="eastAsia" w:asciiTheme="minorEastAsia" w:hAnsiTheme="minorEastAsia" w:cstheme="minorEastAsia"/>
                <w:sz w:val="24"/>
              </w:rPr>
              <w:t>未参加青年文明号创建工作培训。</w:t>
            </w:r>
          </w:p>
        </w:tc>
        <w:tc>
          <w:tcPr>
            <w:tcW w:w="2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8984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否决项评定，需在后面标注相应的序号。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216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基础指标（60分）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2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过程指标（40分）</w:t>
            </w:r>
          </w:p>
        </w:tc>
        <w:tc>
          <w:tcPr>
            <w:tcW w:w="2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216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加分指标（限20分）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2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合 计</w:t>
            </w:r>
          </w:p>
        </w:tc>
        <w:tc>
          <w:tcPr>
            <w:tcW w:w="2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exact"/>
          <w:tblCellSpacing w:w="0" w:type="dxa"/>
        </w:trPr>
        <w:tc>
          <w:tcPr>
            <w:tcW w:w="216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评审人员签名</w:t>
            </w:r>
          </w:p>
        </w:tc>
        <w:tc>
          <w:tcPr>
            <w:tcW w:w="682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>
      <w:pPr>
        <w:rPr>
          <w:rFonts w:asciiTheme="minorEastAsia" w:hAnsiTheme="minorEastAsia" w:cstheme="minorEastAsia"/>
          <w:sz w:val="24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一、基础指标（60分）</w:t>
      </w:r>
    </w:p>
    <w:tbl>
      <w:tblPr>
        <w:tblStyle w:val="8"/>
        <w:tblW w:w="8969" w:type="dxa"/>
        <w:tblCellSpacing w:w="0" w:type="dxa"/>
        <w:tblInd w:w="1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094"/>
        <w:gridCol w:w="7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评价项目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评分标准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组织领导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（12分）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1）成立创建领导小组，有正式文件，明确工作职责。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2）有年度创建计划，明确创建目标、推进措施，有相应总结。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3）创建工作有必要的人员和经费保障。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岗位文明建设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（12分）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4）人员岗位清晰，职责明确，对岗位工作有目标考核；创建工作能够融入岗位职责和考核指标。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both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5）工作场所秩序良好，醒目位置悬挂青年文明号牌匾或创建青年文明号标志，公开青年文明号创建或服务承诺，公开监督电话。（注：行业有规范化建设要求的执行行业标准。）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6）积极参与志愿服务活动，集体成员在“志愿中国”注册率达90%以上，每年度集体组织开展志愿服务活动不少于两次。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效益指标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（8分）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7）年终各项经济/技术/服务指标在本行业、本单位同类实体或岗位中名列前茅。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8）创建活动获得社会和公众认可。开展了针对各自受众的满意率测评活动，满意率不低于90%。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4、制度建设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（10分）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9）针对青年文明号创建参与情况进行考核，建立对集体成员有形有效的激励制度和措施办法。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10)重视对集体成员的教育培训，每人每年至少有一次业务培训和岗位练兵机会。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11）创新管理制度。创建工作在以往基础上针对文明建设或高质量发展制定具体的改进、创新措施。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5、共青团和青年发展工作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（12分）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12）建立团的组织或青年工作委员会，重视发挥团员青年作用。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13）积极开展“青年大学习”和其它符合青年特点的政治理论学习活动；落实“推优入党”等工作。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14）贯彻“青年优先发展”理念，结合实际开展“为青年办实事”活动。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  <w:tblCellSpacing w:w="0" w:type="dxa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6、台账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管理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（6分）</w:t>
            </w:r>
          </w:p>
        </w:tc>
        <w:tc>
          <w:tcPr>
            <w:tcW w:w="709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15）青年文明号台账资料完整规范。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tblCellSpacing w:w="0" w:type="dxa"/>
        </w:trPr>
        <w:tc>
          <w:tcPr>
            <w:tcW w:w="81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小 计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60</w:t>
            </w:r>
          </w:p>
        </w:tc>
      </w:tr>
    </w:tbl>
    <w:p>
      <w:pPr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二、加分指标（限加20分）</w:t>
      </w:r>
    </w:p>
    <w:tbl>
      <w:tblPr>
        <w:tblStyle w:val="8"/>
        <w:tblW w:w="8999" w:type="dxa"/>
        <w:tblCellSpacing w:w="0" w:type="dxa"/>
        <w:tblInd w:w="1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9"/>
        <w:gridCol w:w="78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加分标准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得分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1）积极弘扬社会新风，踊跃参与文明城市创建、公共卫生应急保障、重大赛会服务等各类应急志愿服务活动。（每次活动加1分，此项限加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sz w:val="24"/>
              </w:rPr>
              <w:t>分）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exac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2）重视发挥社会功能，组织发动集体成员积极参与城乡社区治理和乡村振兴工作，开展“向街道、社区团组织”报到活动，积极参与困境儿童、留守儿童关爱</w:t>
            </w:r>
            <w:r>
              <w:rPr>
                <w:rFonts w:hint="eastAsia" w:asciiTheme="minorEastAsia" w:hAnsiTheme="minorEastAsia" w:cstheme="minorEastAsia"/>
                <w:sz w:val="24"/>
                <w:lang w:eastAsia="zh-CN"/>
              </w:rPr>
              <w:t>保护</w:t>
            </w:r>
            <w:r>
              <w:rPr>
                <w:rFonts w:hint="eastAsia" w:asciiTheme="minorEastAsia" w:hAnsiTheme="minorEastAsia" w:cstheme="minorEastAsia"/>
                <w:sz w:val="24"/>
              </w:rPr>
              <w:t>等工作项目。（每次活动加1分，此项限加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sz w:val="24"/>
              </w:rPr>
              <w:t>分）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3）创建年度，集体或个人获得上级工作表彰，集体每次加2分，个人每个加1分。（此项限加5分）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exac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4）创建工作突出，工作做法、典型事例被市级及以上主流新闻媒体宣传报道，每刊登一则消息加1分。（此项限加5分）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tblCellSpacing w:w="0" w:type="dxa"/>
        </w:trPr>
        <w:tc>
          <w:tcPr>
            <w:tcW w:w="821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小 计</w:t>
            </w:r>
          </w:p>
        </w:tc>
        <w:tc>
          <w:tcPr>
            <w:tcW w:w="780" w:type="dxa"/>
            <w:shd w:val="clear" w:color="auto" w:fill="auto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三、过程管理指标（40分）（分类型）</w:t>
      </w:r>
    </w:p>
    <w:p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I服务管理类</w:t>
      </w:r>
    </w:p>
    <w:tbl>
      <w:tblPr>
        <w:tblStyle w:val="8"/>
        <w:tblW w:w="9014" w:type="dxa"/>
        <w:tblCellSpacing w:w="0" w:type="dxa"/>
        <w:tblInd w:w="1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169"/>
        <w:gridCol w:w="76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tblCellSpacing w:w="0" w:type="dxa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评价项目</w:t>
            </w: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评分标准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工作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环境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（10分）</w:t>
            </w: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1）印发“青年文明号服务卡”，联系渠道畅通，便民利民措施落到实处。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2）工作场所栽立服务标识或办事指南，服务设施齐全，为办事人员提供良好的办事环境。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3）开展低碳环保宣传工作（包括现场的节能标识），现场无“跑、冒、滴、漏”现象。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服务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行为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（18分）</w:t>
            </w: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4）工作人员仪表、举止得体，服务态度良好。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5）服务规范或标准，有违反服务标准作业的，或受到服务投诉的经调查属实的，不得分。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6）执行首问责任制和一次性告知制度。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7）随机抽查直接服务受众的工作人员，有对业务不熟悉的，不得分。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8）推行网络政务公开。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9）一年内有责投诉超过2次的，每次扣1分。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岗位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技能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（6分）</w:t>
            </w: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10）对新员工、转岗员工、特殊工种人员及时开展岗前培训、资格培训。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11）积极开展岗位练兵、技术比武和业务培训等活动。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人员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管理</w:t>
            </w:r>
          </w:p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（6分）</w:t>
            </w: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12）针对青年文明号创建活动制定培训计划，岗位职责与创建工作有机结合。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69" w:type="dxa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13）集体成员知晓本集体创建青年文明号工作。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tblCellSpacing w:w="0" w:type="dxa"/>
        </w:trPr>
        <w:tc>
          <w:tcPr>
            <w:tcW w:w="824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小 计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40</w:t>
            </w:r>
          </w:p>
        </w:tc>
      </w:tr>
    </w:tbl>
    <w:p>
      <w:pPr>
        <w:rPr>
          <w:rFonts w:asciiTheme="minorEastAsia" w:hAnsiTheme="minorEastAsia" w:cstheme="minorEastAsia"/>
          <w:b/>
          <w:bCs/>
          <w:sz w:val="24"/>
        </w:rPr>
      </w:pPr>
    </w:p>
    <w:p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 xml:space="preserve">Ⅱ.生产班组类 </w:t>
      </w:r>
    </w:p>
    <w:tbl>
      <w:tblPr>
        <w:tblStyle w:val="8"/>
        <w:tblW w:w="9031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201"/>
        <w:gridCol w:w="7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tblCellSpacing w:w="0" w:type="dxa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评价项目</w:t>
            </w: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评分标准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1、安全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生产过程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管理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（12分） </w:t>
            </w: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1）开展“青年安全生产示范岗”等创建活动，安全思想教育、安全技能培训到位。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2）建立安全生产责任制，安全制度、安全操作规程、事故事件应急预案健全，责任落实到具体岗位，开展应急预案演习活动。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3）对本集体、本班组所辖设备的安全状况和危险点进行识别登记，制定安全检查卡。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4）对新员工、转岗员工、特殊工种人员开展岗前培训、资格培训。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2、现场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管理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（9分） </w:t>
            </w: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5）制订和实施有效的现场管理规范，作业场所进行区域划分，工具、物料摆放有序，标识清楚。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6）作业现场张贴岗位安全操作规程和安全注意事项，现场具备应急设施、应急措施到位。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7）开展低碳环保宣传工作（包括现场的节能标识），现场无“跑、冒、滴、漏”现象。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3、生产过程管理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（12分） </w:t>
            </w: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8）建立和实施质量管理制度，生产检验记录完善。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9）设定本集体/班组的质量目标，有目标实施方案，积极开展质量攻关小组或QS小组活动。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10）无违反劳动纪律、操作规程现象，设备、用具、仪器检查保养及时到位。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11）集体成员之间沟通渠道畅通，与其他班组/岗位协作密切。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（注：班组/岗位单独设置的不适用本条，不扣分。）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4、班组基础建设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（7分） </w:t>
            </w: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12）积极开展和组织参与岗位练兵、技术比武、创新创效活动。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20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13）集体成员知晓本集体创建青年文明号工作。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tblCellSpacing w:w="0" w:type="dxa"/>
        </w:trPr>
        <w:tc>
          <w:tcPr>
            <w:tcW w:w="828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小 计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40</w:t>
            </w:r>
          </w:p>
        </w:tc>
      </w:tr>
    </w:tbl>
    <w:p>
      <w:pPr>
        <w:rPr>
          <w:rFonts w:asciiTheme="minorEastAsia" w:hAnsiTheme="minorEastAsia" w:cstheme="minorEastAsia"/>
          <w:sz w:val="24"/>
        </w:rPr>
      </w:pP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 xml:space="preserve">Ⅲ.工程建设类 </w:t>
      </w:r>
    </w:p>
    <w:tbl>
      <w:tblPr>
        <w:tblStyle w:val="8"/>
        <w:tblW w:w="9029" w:type="dxa"/>
        <w:tblCellSpacing w:w="0" w:type="dxa"/>
        <w:tblInd w:w="1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199"/>
        <w:gridCol w:w="7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tblCellSpacing w:w="0" w:type="dxa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评价项目</w:t>
            </w: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评分标准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1、安全文明施工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（15分） </w:t>
            </w: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1）建立安全生产管理机构、落实安全生产责任制；安全制度、安全操作规程完善；对所承担的建设工程进行定期和专项安全检查。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2）开展“青年安全生产示范岗”活动，安全思想教育、安全技能培训到位。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3）施工现场、基础设施安全防范措施到位，施工人员无违反作业要求的。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4）对新员工、转岗员工、特殊工种人员开展岗前培训、资格培训。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5）根据建设工程特点、范围，对施工现场存在安全隐患的部位与环节进行监控，制定施工现场生产安全事故应急救援预案。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2、质量环境保护和生产过程管理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（13分） </w:t>
            </w: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6）注重工程质量，为顾客提供满意的产品（工程），确保工程一次性合格率100％，杜绝重大质量事故。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7）注意重大环境因素的监测控制，按照国家及行业有关规定严格控制噪音、固体废弃物、水体污染、大气污染、土壤污染等。无超标排放。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8）注重职业健康安全管理，杜绝重大伤亡事故、重大火灾事故、重大设备事故，月工伤事故频率和歇工率控制在2‰以下。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9）开展质量攻关小组或QC小组活动。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10）开展有效建筑节能减排活动。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tblCellSpacing w:w="0" w:type="dxa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3、项目规范建设 </w:t>
            </w:r>
          </w:p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（12分）  </w:t>
            </w: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11）建立和实施劳动保护制度、劳动用工制度，劳动用品发放标准。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12）作业场所张贴岗位安全操作规程及安全注意事项。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13）无拖欠民工工资等不良行为记录。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14）积极开展和组织参与岗位练兵、技术比武、创新创效活动。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199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15）集体成员知晓本集体创建青年文明号工作。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82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小 计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40</w:t>
            </w:r>
          </w:p>
        </w:tc>
      </w:tr>
    </w:tbl>
    <w:p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附注： </w:t>
      </w:r>
    </w:p>
    <w:p>
      <w:pPr>
        <w:rPr>
          <w:rFonts w:asciiTheme="minorEastAsia" w:hAnsiTheme="minorEastAsia" w:cstheme="minorEastAsia"/>
          <w:sz w:val="24"/>
        </w:rPr>
      </w:pPr>
      <w:bookmarkStart w:id="0" w:name="SectionMark5"/>
      <w:r>
        <w:rPr>
          <w:rFonts w:hint="eastAsia" w:asciiTheme="minorEastAsia" w:hAnsiTheme="minorEastAsia" w:cstheme="minorEastAsia"/>
          <w:b/>
          <w:bCs/>
          <w:sz w:val="24"/>
        </w:rPr>
        <w:t>1.</w:t>
      </w:r>
      <w:bookmarkEnd w:id="0"/>
      <w:r>
        <w:rPr>
          <w:rFonts w:hint="eastAsia" w:asciiTheme="minorEastAsia" w:hAnsiTheme="minorEastAsia" w:cstheme="minorEastAsia"/>
          <w:b/>
          <w:bCs/>
          <w:sz w:val="24"/>
        </w:rPr>
        <w:t>服务管理类：</w:t>
      </w:r>
      <w:r>
        <w:rPr>
          <w:rFonts w:hint="eastAsia" w:asciiTheme="minorEastAsia" w:hAnsiTheme="minorEastAsia" w:cstheme="minorEastAsia"/>
          <w:sz w:val="24"/>
        </w:rPr>
        <w:t>包括三个方面，一是窗口服务类，指直接面向社会群众，以管理和服务作为主要工作内容的创建集体，拥有直接向群众提供服务的渠道；二是后台服务/管理类，指不直接面向社会群众的，以管理和服务作为主要工作内容的创建集体，该集体有间接向群众提供服务的渠道或者作为对前台服务/工作的支撑（如后勤服务、研发机构、支撑维护等）；三是机关事业类单位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2.青年文明号服务卡：</w:t>
      </w:r>
      <w:r>
        <w:rPr>
          <w:rFonts w:hint="eastAsia" w:asciiTheme="minorEastAsia" w:hAnsiTheme="minorEastAsia" w:cstheme="minorEastAsia"/>
          <w:sz w:val="24"/>
        </w:rPr>
        <w:t xml:space="preserve">青年文明号服务卡是从业人员在为群众进行服务时，向群众提供印有具体服务承诺和公开联系监督方式的书面证明。青年文明号服务卡基本内容：1）服务卡名称：青年文明号服务卡；2）发卡单位名称；3）发卡单位的创建情况和级别；4）具体承诺服务内容；5）便民服务联系电话；6）监督电话。规格统一为90×55mm。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3.青年文明号台账应包含以下基本内容：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 xml:space="preserve">1）集体创建青年文明号活动领导小组名单；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2）创建集体</w:t>
      </w:r>
      <w:r>
        <w:rPr>
          <w:rFonts w:hint="eastAsia" w:asciiTheme="minorEastAsia" w:hAnsiTheme="minorEastAsia" w:cstheme="minorEastAsia"/>
          <w:sz w:val="24"/>
          <w:lang w:eastAsia="zh-CN"/>
        </w:rPr>
        <w:t>自然</w:t>
      </w:r>
      <w:r>
        <w:rPr>
          <w:rFonts w:hint="eastAsia" w:asciiTheme="minorEastAsia" w:hAnsiTheme="minorEastAsia" w:cstheme="minorEastAsia"/>
          <w:sz w:val="24"/>
        </w:rPr>
        <w:t>情况</w:t>
      </w:r>
      <w:r>
        <w:rPr>
          <w:rFonts w:hint="eastAsia" w:asciiTheme="minorEastAsia" w:hAnsiTheme="minorEastAsia" w:cstheme="minorEastAsia"/>
          <w:sz w:val="24"/>
          <w:lang w:eastAsia="zh-CN"/>
        </w:rPr>
        <w:t>、主要</w:t>
      </w:r>
      <w:r>
        <w:rPr>
          <w:rFonts w:hint="eastAsia" w:asciiTheme="minorEastAsia" w:hAnsiTheme="minorEastAsia" w:cstheme="minorEastAsia"/>
          <w:sz w:val="24"/>
        </w:rPr>
        <w:t>职责</w:t>
      </w:r>
      <w:r>
        <w:rPr>
          <w:rFonts w:hint="eastAsia" w:asciiTheme="minorEastAsia" w:hAnsiTheme="minorEastAsia" w:cstheme="minorEastAsia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</w:rPr>
        <w:t xml:space="preserve">成员基本情况；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 xml:space="preserve">3）集体年度创建计划和目标，创建计划应体现行业特色；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 xml:space="preserve">4）集体服务承诺和便民服务措施；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 xml:space="preserve">5）近一年的创建活动图文记录； </w:t>
      </w:r>
    </w:p>
    <w:p>
      <w:pPr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6）创建青年文明号有关图片、宣传报道、先进事迹、简报资料；</w:t>
      </w:r>
    </w:p>
    <w:p>
      <w:pPr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 xml:space="preserve">7）集体受奖情况登记，各类评选、命名表彰文件及奖牌证书。 </w:t>
      </w: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Theme="minorEastAsia" w:hAnsiTheme="minorEastAsia" w:cstheme="minorEastAsia"/>
          <w:sz w:val="24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364490</wp:posOffset>
                </wp:positionV>
                <wp:extent cx="5709285" cy="508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354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.75pt;margin-top:28.7pt;height:0.4pt;width:449.55pt;z-index:251663360;mso-width-relative:page;mso-height-relative:page;" filled="f" stroked="t" coordsize="21600,21600" o:gfxdata="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hTGT2AAAAAkBAAAPAAAAAAAAAAEAIAAAACIAAABkcnMv&#10;ZG93bnJldi54bWxQSwECFAAUAAAACACHTuJAi3wPHgMCAAD/AwAADgAAAAAAAAABACAAAAAn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78740</wp:posOffset>
                </wp:positionV>
                <wp:extent cx="5709285" cy="508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354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pt;margin-top:6.2pt;height:0.4pt;width:449.55pt;z-index:251662336;mso-width-relative:page;mso-height-relative:page;" filled="f" stroked="t" coordsize="21600,21600" o:gfxdata="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33cf3XAAAACQEAAA8AAAAAAAAAAQAgAAAAIgAAAGRycy9k&#10;b3ducmV2LnhtbFBLAQIUABQAAAAIAIdO4kD1d0qXAwIAAP8DAAAOAAAAAAAAAAEAIAAAACY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8"/>
          <w:szCs w:val="28"/>
        </w:rPr>
        <w:t xml:space="preserve">共青团宝鸡市委办公室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  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日印发</w:t>
      </w:r>
    </w:p>
    <w:p>
      <w:pPr>
        <w:spacing w:line="600" w:lineRule="exact"/>
        <w:jc w:val="center"/>
        <w:rPr>
          <w:rFonts w:hint="eastAsia" w:asciiTheme="minorEastAsia" w:hAnsiTheme="minorEastAsia" w:cstheme="minorEastAsia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              </w:t>
      </w:r>
      <w:r>
        <w:rPr>
          <w:rFonts w:hint="eastAsia" w:ascii="宋体" w:hAnsi="宋体" w:eastAsia="宋体" w:cs="宋体"/>
          <w:sz w:val="24"/>
        </w:rPr>
        <w:t>共印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</w:rPr>
        <w:t>份</w:t>
      </w:r>
    </w:p>
    <w:sectPr>
      <w:footerReference r:id="rId3" w:type="default"/>
      <w:pgSz w:w="11906" w:h="16838"/>
      <w:pgMar w:top="2098" w:right="1474" w:bottom="1984" w:left="1587" w:header="851" w:footer="1417" w:gutter="0"/>
      <w:paperSrc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G2eWGT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63F0A0"/>
    <w:multiLevelType w:val="singleLevel"/>
    <w:tmpl w:val="2563F0A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A69762B"/>
    <w:multiLevelType w:val="singleLevel"/>
    <w:tmpl w:val="4A69762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0E8"/>
    <w:rsid w:val="00295E5A"/>
    <w:rsid w:val="003265C9"/>
    <w:rsid w:val="006B70E8"/>
    <w:rsid w:val="00926352"/>
    <w:rsid w:val="00A70BB5"/>
    <w:rsid w:val="00B23EF2"/>
    <w:rsid w:val="00C67836"/>
    <w:rsid w:val="00E44AC1"/>
    <w:rsid w:val="00EC1429"/>
    <w:rsid w:val="078B45A7"/>
    <w:rsid w:val="12645A80"/>
    <w:rsid w:val="1F362A5C"/>
    <w:rsid w:val="24194FAB"/>
    <w:rsid w:val="2D6F1E92"/>
    <w:rsid w:val="2DFB5ABE"/>
    <w:rsid w:val="321D5394"/>
    <w:rsid w:val="4BC14FD7"/>
    <w:rsid w:val="5457611B"/>
    <w:rsid w:val="5F8441AD"/>
    <w:rsid w:val="6A9707E7"/>
    <w:rsid w:val="727577AE"/>
    <w:rsid w:val="7B653AB4"/>
    <w:rsid w:val="7BAC0C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rFonts w:ascii="Calibri" w:hAnsi="Calibri" w:cs="宋体"/>
      <w:szCs w:val="21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607</Words>
  <Characters>3461</Characters>
  <Lines>28</Lines>
  <Paragraphs>8</Paragraphs>
  <TotalTime>2</TotalTime>
  <ScaleCrop>false</ScaleCrop>
  <LinksUpToDate>false</LinksUpToDate>
  <CharactersWithSpaces>4060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tsw1</cp:lastModifiedBy>
  <cp:lastPrinted>2022-02-08T02:10:00Z</cp:lastPrinted>
  <dcterms:modified xsi:type="dcterms:W3CDTF">2022-02-08T07:21:51Z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EAC9210BCF114AE38347EB4168B4DE4E</vt:lpwstr>
  </property>
</Properties>
</file>