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ascii="楷体" w:hAnsi="楷体" w:eastAsia="楷体"/>
          <w:b/>
          <w:w w:val="85"/>
          <w:sz w:val="52"/>
          <w:szCs w:val="52"/>
        </w:rPr>
      </w:pPr>
    </w:p>
    <w:p>
      <w:pPr>
        <w:ind w:left="0" w:leftChars="0" w:firstLine="0" w:firstLineChars="0"/>
        <w:jc w:val="both"/>
        <w:rPr>
          <w:rFonts w:hint="eastAsia" w:ascii="黑体" w:hAnsi="黑体" w:eastAsia="黑体" w:cs="黑体"/>
          <w:b/>
          <w:bCs/>
          <w:sz w:val="72"/>
          <w:szCs w:val="72"/>
          <w:lang w:val="en-US" w:eastAsia="zh-CN"/>
        </w:rPr>
      </w:pP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60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2024年宝鸡市青年职工职业技能</w:t>
      </w: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60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暨创意创造作品大赛</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华文新魏" w:eastAsia="华文新魏"/>
          <w:sz w:val="52"/>
          <w:szCs w:val="52"/>
        </w:rPr>
      </w:pPr>
    </w:p>
    <w:p>
      <w:pPr>
        <w:jc w:val="center"/>
        <w:rPr>
          <w:rFonts w:ascii="华文新魏" w:eastAsia="华文新魏"/>
          <w:sz w:val="84"/>
          <w:szCs w:val="84"/>
        </w:rPr>
      </w:pPr>
    </w:p>
    <w:p>
      <w:pPr>
        <w:spacing w:before="100" w:beforeAutospacing="1" w:after="100" w:afterAutospacing="1"/>
        <w:jc w:val="center"/>
        <w:rPr>
          <w:rFonts w:ascii="华文中宋" w:hAnsi="华文中宋" w:eastAsia="华文中宋" w:cs="华文中宋"/>
          <w:b/>
          <w:bCs/>
          <w:sz w:val="52"/>
          <w:szCs w:val="52"/>
        </w:rPr>
      </w:pPr>
      <w:bookmarkStart w:id="39" w:name="_GoBack"/>
      <w:bookmarkEnd w:id="39"/>
      <w:r>
        <w:rPr>
          <w:rFonts w:hint="eastAsia" w:ascii="华文中宋" w:hAnsi="华文中宋" w:eastAsia="华文中宋" w:cs="华文中宋"/>
          <w:b/>
          <w:bCs/>
          <w:sz w:val="52"/>
          <w:szCs w:val="52"/>
        </w:rPr>
        <w:t>钳工技术文件</w:t>
      </w:r>
    </w:p>
    <w:p>
      <w:pPr>
        <w:jc w:val="center"/>
        <w:rPr>
          <w:rFonts w:ascii="华文新魏" w:eastAsia="华文新魏"/>
          <w:sz w:val="52"/>
          <w:szCs w:val="52"/>
        </w:rPr>
      </w:pPr>
    </w:p>
    <w:p>
      <w:pPr>
        <w:pStyle w:val="2"/>
        <w:ind w:firstLine="640"/>
        <w:jc w:val="center"/>
      </w:pPr>
    </w:p>
    <w:p>
      <w:pPr>
        <w:pStyle w:val="2"/>
        <w:ind w:firstLine="640"/>
        <w:jc w:val="center"/>
      </w:pPr>
    </w:p>
    <w:p>
      <w:pPr>
        <w:jc w:val="center"/>
        <w:rPr>
          <w:rFonts w:ascii="华文新魏" w:eastAsia="华文新魏"/>
          <w:sz w:val="52"/>
          <w:szCs w:val="52"/>
        </w:rPr>
      </w:pPr>
    </w:p>
    <w:p>
      <w:pPr>
        <w:jc w:val="center"/>
        <w:rPr>
          <w:rFonts w:ascii="华文新魏" w:eastAsia="华文新魏"/>
          <w:sz w:val="52"/>
          <w:szCs w:val="52"/>
        </w:rPr>
      </w:pPr>
    </w:p>
    <w:p>
      <w:pPr>
        <w:jc w:val="center"/>
        <w:rPr>
          <w:rFonts w:ascii="黑体" w:hAnsi="黑体" w:eastAsia="黑体" w:cs="黑体"/>
          <w:sz w:val="32"/>
          <w:szCs w:val="32"/>
        </w:rPr>
      </w:pPr>
      <w:r>
        <w:rPr>
          <w:rFonts w:hint="eastAsia" w:ascii="黑体" w:hAnsi="黑体" w:eastAsia="黑体" w:cs="黑体"/>
          <w:sz w:val="32"/>
          <w:szCs w:val="32"/>
        </w:rPr>
        <w:t>大赛组委会</w:t>
      </w:r>
    </w:p>
    <w:p>
      <w:pPr>
        <w:jc w:val="center"/>
        <w:rPr>
          <w:rFonts w:ascii="黑体" w:hAnsi="黑体" w:eastAsia="黑体" w:cs="黑体"/>
          <w:sz w:val="32"/>
          <w:szCs w:val="32"/>
        </w:rPr>
      </w:pPr>
      <w:r>
        <w:rPr>
          <w:rFonts w:hint="eastAsia" w:ascii="黑体" w:hAnsi="黑体" w:eastAsia="黑体" w:cs="黑体"/>
          <w:sz w:val="32"/>
          <w:szCs w:val="32"/>
        </w:rPr>
        <w:t>2024年</w:t>
      </w:r>
      <w:r>
        <w:rPr>
          <w:rFonts w:hint="eastAsia" w:ascii="黑体" w:hAnsi="黑体" w:eastAsia="黑体" w:cs="黑体"/>
          <w:sz w:val="32"/>
          <w:szCs w:val="32"/>
          <w:lang w:val="en-US" w:eastAsia="zh-CN"/>
        </w:rPr>
        <w:t>5</w:t>
      </w:r>
      <w:r>
        <w:rPr>
          <w:rFonts w:hint="eastAsia" w:ascii="黑体" w:hAnsi="黑体" w:eastAsia="黑体" w:cs="黑体"/>
          <w:sz w:val="32"/>
          <w:szCs w:val="32"/>
        </w:rPr>
        <w:t>月</w:t>
      </w:r>
    </w:p>
    <w:p>
      <w:pPr>
        <w:jc w:val="center"/>
        <w:rPr>
          <w:rFonts w:ascii="黑体" w:hAnsi="黑体" w:eastAsia="黑体" w:cs="黑体"/>
          <w:sz w:val="32"/>
          <w:szCs w:val="32"/>
        </w:rPr>
      </w:pPr>
      <w:r>
        <w:rPr>
          <w:rFonts w:hint="eastAsia" w:ascii="黑体" w:hAnsi="黑体" w:eastAsia="黑体" w:cs="黑体"/>
          <w:sz w:val="32"/>
          <w:szCs w:val="32"/>
        </w:rPr>
        <w:br w:type="page"/>
      </w:r>
    </w:p>
    <w:p>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pPr>
        <w:pStyle w:val="7"/>
        <w:tabs>
          <w:tab w:val="right" w:leader="dot" w:pos="8296"/>
        </w:tabs>
        <w:jc w:val="left"/>
        <w:rPr>
          <w:rFonts w:ascii="仿宋" w:hAnsi="仿宋" w:eastAsia="仿宋" w:cs="仿宋"/>
          <w:bCs/>
          <w:sz w:val="30"/>
          <w:szCs w:val="30"/>
          <w:lang w:val="zh-CN"/>
        </w:rPr>
      </w:pP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sz w:val="28"/>
          <w:szCs w:val="28"/>
          <w:lang w:val="zh-CN"/>
        </w:rPr>
        <w:fldChar w:fldCharType="begin"/>
      </w:r>
      <w:r>
        <w:rPr>
          <w:rFonts w:hint="eastAsia" w:asciiTheme="minorEastAsia" w:hAnsiTheme="minorEastAsia" w:eastAsiaTheme="minorEastAsia" w:cstheme="minorEastAsia"/>
          <w:bCs/>
          <w:sz w:val="28"/>
          <w:szCs w:val="28"/>
          <w:lang w:val="zh-CN"/>
        </w:rPr>
        <w:instrText xml:space="preserve"> TOC \o "1-3" \h \z \u </w:instrText>
      </w:r>
      <w:r>
        <w:rPr>
          <w:rFonts w:hint="eastAsia" w:asciiTheme="minorEastAsia" w:hAnsiTheme="minorEastAsia" w:eastAsiaTheme="minorEastAsia" w:cstheme="minorEastAsia"/>
          <w:bCs/>
          <w:sz w:val="28"/>
          <w:szCs w:val="28"/>
          <w:lang w:val="zh-CN"/>
        </w:rPr>
        <w:fldChar w:fldCharType="separate"/>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"_Toc165193469"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一、赛项名称</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_Toc165193469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"_Toc165193470"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二、赛项目的</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"_Toc165193471"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三、赛项内容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"_Toc165193472"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（一）理论知识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"_Toc165193473"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（二）实际操作</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"_Toc165193474"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四、比赛方式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"_Toc165193475"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五、技术规范</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"_Toc165193476"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（一）职业守则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"_Toc165193477"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（二）职业标准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"_Toc165193478"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（三）命题范围</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"_Toc165193479"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（四）比赛试题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"_Toc165193480"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六、评分规则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"_Toc165193481"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（一）评分标准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"_Toc165193482"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（二）评分方法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"_Toc165193483"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（三）成绩复核</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"_Toc165193484"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（四）最终成绩</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"_Toc165193485"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（五）名次排序方法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"_Toc165193486"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七、技术环境</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"_Toc165193487"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八、比赛规则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"_Toc165193488"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（一）通用要求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"_Toc165193489"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（二）裁判员工作要求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_Toc165193489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"_Toc165193490"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（三）选手赛场要求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"_Toc165193491"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（四）工作人员赛场要求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"_Toc165193492"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（五）纪律处罚规定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"_Toc165193493"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九、赛场安全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"_Toc165193494"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（一）选手安全防护措施要求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"_Toc165193495"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（二）赛场安全要求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"_Toc165193496"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（三)注意事项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7"/>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"_Toc165193497"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十、申诉与仲裁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"_Toc165193498"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（一）申诉</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296"/>
        </w:tabs>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"_Toc165193499" </w:instrText>
      </w:r>
      <w:r>
        <w:rPr>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（二）仲裁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_Toc165193499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2"/>
        <w:ind w:firstLine="0" w:firstLineChars="0"/>
        <w:jc w:val="left"/>
        <w:rPr>
          <w:rFonts w:hint="eastAsia" w:asciiTheme="minorEastAsia" w:hAnsiTheme="minorEastAsia" w:eastAsiaTheme="minorEastAsia" w:cstheme="minorEastAsia"/>
          <w:bCs/>
          <w:sz w:val="28"/>
          <w:szCs w:val="28"/>
          <w:lang w:val="zh-CN"/>
        </w:rPr>
      </w:pPr>
      <w:r>
        <w:rPr>
          <w:rFonts w:hint="eastAsia" w:asciiTheme="minorEastAsia" w:hAnsiTheme="minorEastAsia" w:eastAsiaTheme="minorEastAsia" w:cstheme="minorEastAsia"/>
          <w:bCs/>
          <w:sz w:val="28"/>
          <w:szCs w:val="28"/>
          <w:lang w:val="zh-CN"/>
        </w:rPr>
        <w:fldChar w:fldCharType="end"/>
      </w:r>
    </w:p>
    <w:p>
      <w:pPr>
        <w:pStyle w:val="2"/>
        <w:ind w:firstLine="640"/>
        <w:rPr>
          <w:rFonts w:hint="eastAsia" w:asciiTheme="minorEastAsia" w:hAnsiTheme="minorEastAsia" w:eastAsiaTheme="minorEastAsia" w:cstheme="minorEastAsia"/>
          <w:bCs/>
          <w:sz w:val="28"/>
          <w:szCs w:val="28"/>
          <w:lang w:val="zh-CN"/>
        </w:rPr>
      </w:pPr>
    </w:p>
    <w:p>
      <w:pPr>
        <w:widowControl/>
        <w:jc w:val="left"/>
        <w:rPr>
          <w:rFonts w:eastAsia="仿宋_GB2312"/>
          <w:sz w:val="32"/>
        </w:rPr>
        <w:sectPr>
          <w:footerReference r:id="rId3" w:type="default"/>
          <w:type w:val="continuous"/>
          <w:pgSz w:w="11906" w:h="16838"/>
          <w:pgMar w:top="2098" w:right="1474" w:bottom="1984" w:left="1587" w:header="851" w:footer="1417" w:gutter="0"/>
          <w:pgNumType w:start="1"/>
          <w:cols w:space="0" w:num="1"/>
          <w:rtlGutter w:val="0"/>
          <w:docGrid w:type="lines" w:linePitch="312" w:charSpace="0"/>
        </w:sectPr>
      </w:pPr>
      <w:r>
        <w:br w:type="page"/>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firstLine="560" w:firstLineChars="200"/>
        <w:jc w:val="left"/>
        <w:textAlignment w:val="auto"/>
        <w:rPr>
          <w:rFonts w:hint="eastAsia" w:ascii="黑体" w:hAnsi="黑体" w:eastAsia="黑体" w:cs="黑体"/>
          <w:b w:val="0"/>
          <w:bCs w:val="0"/>
          <w:sz w:val="28"/>
          <w:szCs w:val="28"/>
        </w:rPr>
      </w:pPr>
      <w:bookmarkStart w:id="0" w:name="_Toc135753245"/>
      <w:bookmarkStart w:id="1" w:name="_Toc165193469"/>
      <w:r>
        <w:rPr>
          <w:rFonts w:hint="eastAsia" w:ascii="黑体" w:hAnsi="黑体" w:eastAsia="黑体" w:cs="黑体"/>
          <w:b w:val="0"/>
          <w:bCs w:val="0"/>
          <w:sz w:val="28"/>
          <w:szCs w:val="28"/>
        </w:rPr>
        <w:t>一、赛项</w:t>
      </w:r>
      <w:bookmarkEnd w:id="0"/>
      <w:r>
        <w:rPr>
          <w:rFonts w:hint="eastAsia" w:ascii="黑体" w:hAnsi="黑体" w:eastAsia="黑体" w:cs="黑体"/>
          <w:b w:val="0"/>
          <w:bCs w:val="0"/>
          <w:sz w:val="28"/>
          <w:szCs w:val="28"/>
        </w:rPr>
        <w:t>名称</w:t>
      </w:r>
      <w:bookmarkEnd w:id="1"/>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cs="宋体"/>
          <w:kern w:val="0"/>
          <w:sz w:val="28"/>
          <w:szCs w:val="28"/>
        </w:rPr>
      </w:pPr>
      <w:r>
        <w:rPr>
          <w:rFonts w:hint="eastAsia" w:ascii="仿宋" w:hAnsi="仿宋" w:eastAsia="仿宋" w:cs="宋体"/>
          <w:kern w:val="0"/>
          <w:sz w:val="28"/>
          <w:szCs w:val="28"/>
        </w:rPr>
        <w:t>1</w:t>
      </w:r>
      <w:r>
        <w:rPr>
          <w:rFonts w:hint="eastAsia" w:ascii="仿宋" w:hAnsi="仿宋" w:eastAsia="仿宋" w:cs="宋体"/>
          <w:kern w:val="0"/>
          <w:sz w:val="28"/>
          <w:szCs w:val="28"/>
          <w:lang w:val="en-US" w:eastAsia="zh-CN"/>
        </w:rPr>
        <w:t>.</w:t>
      </w:r>
      <w:r>
        <w:rPr>
          <w:rFonts w:hint="eastAsia" w:ascii="仿宋" w:hAnsi="仿宋" w:eastAsia="仿宋" w:cs="宋体"/>
          <w:kern w:val="0"/>
          <w:sz w:val="28"/>
          <w:szCs w:val="28"/>
        </w:rPr>
        <w:t>工种名称：钳工</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LinTimes"/>
          <w:sz w:val="28"/>
          <w:szCs w:val="28"/>
        </w:rPr>
      </w:pPr>
      <w:r>
        <w:rPr>
          <w:rFonts w:hint="eastAsia" w:ascii="仿宋" w:hAnsi="仿宋" w:eastAsia="仿宋" w:cs="宋体"/>
          <w:kern w:val="0"/>
          <w:sz w:val="28"/>
          <w:szCs w:val="28"/>
        </w:rPr>
        <w:t>2</w:t>
      </w:r>
      <w:r>
        <w:rPr>
          <w:rFonts w:hint="eastAsia" w:ascii="仿宋" w:hAnsi="仿宋" w:eastAsia="仿宋" w:cs="宋体"/>
          <w:kern w:val="0"/>
          <w:sz w:val="28"/>
          <w:szCs w:val="28"/>
          <w:lang w:val="en-US" w:eastAsia="zh-CN"/>
        </w:rPr>
        <w:t>.</w:t>
      </w:r>
      <w:r>
        <w:rPr>
          <w:rFonts w:hint="eastAsia" w:ascii="仿宋" w:hAnsi="仿宋" w:eastAsia="仿宋" w:cs="宋体"/>
          <w:kern w:val="0"/>
          <w:sz w:val="28"/>
          <w:szCs w:val="28"/>
        </w:rPr>
        <w:t>工种定义：使用钳工工具或设备，按技术要求对工件进行加工、修整、装配</w:t>
      </w:r>
      <w:r>
        <w:rPr>
          <w:rFonts w:hint="eastAsia" w:ascii="仿宋" w:hAnsi="仿宋" w:eastAsia="仿宋" w:cs="LinTimes"/>
          <w:sz w:val="28"/>
          <w:szCs w:val="28"/>
        </w:rPr>
        <w:t>。</w:t>
      </w:r>
      <w:bookmarkStart w:id="2" w:name="_Toc165193470"/>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二、赛项目的</w:t>
      </w:r>
      <w:bookmarkEnd w:id="2"/>
    </w:p>
    <w:p>
      <w:pPr>
        <w:pStyle w:val="2"/>
        <w:keepNext w:val="0"/>
        <w:keepLines w:val="0"/>
        <w:pageBreakBefore w:val="0"/>
        <w:widowControl w:val="0"/>
        <w:kinsoku/>
        <w:wordWrap/>
        <w:overflowPunct/>
        <w:topLinePunct w:val="0"/>
        <w:autoSpaceDE/>
        <w:autoSpaceDN/>
        <w:bidi w:val="0"/>
        <w:adjustRightInd/>
        <w:snapToGrid/>
        <w:spacing w:after="0" w:line="480" w:lineRule="exact"/>
        <w:ind w:firstLine="640"/>
        <w:textAlignment w:val="auto"/>
        <w:rPr>
          <w:rFonts w:ascii="仿宋_GB2312" w:hAnsi="仿宋_GB2312" w:cs="仿宋_GB2312"/>
          <w:sz w:val="28"/>
          <w:szCs w:val="28"/>
        </w:rPr>
      </w:pPr>
      <w:r>
        <w:rPr>
          <w:rFonts w:hint="eastAsia" w:ascii="仿宋" w:hAnsi="仿宋" w:eastAsia="仿宋" w:cs="LinTimes"/>
          <w:sz w:val="28"/>
          <w:szCs w:val="28"/>
        </w:rPr>
        <w:t>通过本赛项</w:t>
      </w:r>
      <w:r>
        <w:rPr>
          <w:rFonts w:ascii="仿宋" w:hAnsi="仿宋" w:eastAsia="仿宋" w:cs="LinTimes"/>
          <w:sz w:val="28"/>
          <w:szCs w:val="28"/>
        </w:rPr>
        <w:t>将全面展现</w:t>
      </w:r>
      <w:r>
        <w:rPr>
          <w:rFonts w:hint="eastAsia" w:ascii="仿宋" w:hAnsi="仿宋" w:eastAsia="仿宋" w:cs="LinTimes"/>
          <w:sz w:val="28"/>
          <w:szCs w:val="28"/>
        </w:rPr>
        <w:t>青年</w:t>
      </w:r>
      <w:r>
        <w:rPr>
          <w:rFonts w:ascii="仿宋" w:hAnsi="仿宋" w:eastAsia="仿宋" w:cs="LinTimes"/>
          <w:sz w:val="28"/>
          <w:szCs w:val="28"/>
        </w:rPr>
        <w:t>选手专业知识、岗位技能、职业素养和精神风貌，促进</w:t>
      </w:r>
      <w:r>
        <w:rPr>
          <w:rFonts w:hint="eastAsia" w:ascii="仿宋" w:hAnsi="仿宋" w:eastAsia="仿宋" w:cs="LinTimes"/>
          <w:sz w:val="28"/>
          <w:szCs w:val="28"/>
        </w:rPr>
        <w:t>钳工技术</w:t>
      </w:r>
      <w:r>
        <w:rPr>
          <w:rFonts w:ascii="仿宋" w:hAnsi="仿宋" w:eastAsia="仿宋" w:cs="LinTimes"/>
          <w:sz w:val="28"/>
          <w:szCs w:val="28"/>
        </w:rPr>
        <w:t>与制造水平的提升，引领行业发展，</w:t>
      </w:r>
      <w:r>
        <w:rPr>
          <w:rFonts w:hint="eastAsia" w:ascii="仿宋" w:hAnsi="仿宋" w:eastAsia="仿宋" w:cs="LinTimes"/>
          <w:sz w:val="28"/>
          <w:szCs w:val="28"/>
        </w:rPr>
        <w:t>推动</w:t>
      </w:r>
      <w:r>
        <w:rPr>
          <w:rFonts w:hint="eastAsia" w:ascii="仿宋_GB2312" w:hAnsi="仿宋_GB2312" w:cs="仿宋_GB2312"/>
          <w:color w:val="000000"/>
          <w:kern w:val="0"/>
          <w:sz w:val="28"/>
          <w:szCs w:val="28"/>
        </w:rPr>
        <w:t>全市青年高技能人才在重大工程、重大项目、重点产业中建功立业，</w:t>
      </w:r>
      <w:r>
        <w:rPr>
          <w:rFonts w:hint="eastAsia" w:ascii="仿宋_GB2312" w:hAnsi="仿宋_GB2312" w:cs="仿宋_GB2312"/>
          <w:sz w:val="28"/>
          <w:szCs w:val="28"/>
        </w:rPr>
        <w:t>加快我市发展型城市建设，推动产业工人队伍建设改革走深走实。</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firstLine="560" w:firstLineChars="200"/>
        <w:jc w:val="left"/>
        <w:textAlignment w:val="auto"/>
        <w:rPr>
          <w:rFonts w:hint="eastAsia" w:ascii="黑体" w:hAnsi="黑体" w:eastAsia="黑体" w:cs="黑体"/>
          <w:b w:val="0"/>
          <w:bCs w:val="0"/>
          <w:sz w:val="28"/>
          <w:szCs w:val="28"/>
        </w:rPr>
      </w:pPr>
      <w:bookmarkStart w:id="3" w:name="_Toc165193471"/>
      <w:r>
        <w:rPr>
          <w:rFonts w:hint="eastAsia" w:ascii="黑体" w:hAnsi="黑体" w:eastAsia="黑体" w:cs="黑体"/>
          <w:b w:val="0"/>
          <w:bCs w:val="0"/>
          <w:sz w:val="28"/>
          <w:szCs w:val="28"/>
        </w:rPr>
        <w:t>三、赛项内容</w:t>
      </w:r>
      <w:bookmarkEnd w:id="3"/>
    </w:p>
    <w:p>
      <w:pPr>
        <w:pStyle w:val="2"/>
        <w:keepNext w:val="0"/>
        <w:keepLines w:val="0"/>
        <w:pageBreakBefore w:val="0"/>
        <w:widowControl w:val="0"/>
        <w:kinsoku/>
        <w:wordWrap/>
        <w:overflowPunct/>
        <w:topLinePunct w:val="0"/>
        <w:autoSpaceDE/>
        <w:autoSpaceDN/>
        <w:bidi w:val="0"/>
        <w:adjustRightInd/>
        <w:snapToGrid/>
        <w:spacing w:after="0" w:line="480" w:lineRule="exact"/>
        <w:ind w:left="0" w:leftChars="0" w:firstLine="560" w:firstLineChars="200"/>
        <w:textAlignment w:val="auto"/>
        <w:rPr>
          <w:rFonts w:ascii="仿宋" w:hAnsi="仿宋" w:eastAsia="仿宋" w:cs="LinTimes"/>
          <w:sz w:val="28"/>
          <w:szCs w:val="28"/>
        </w:rPr>
      </w:pPr>
      <w:r>
        <w:rPr>
          <w:rFonts w:hint="eastAsia" w:ascii="仿宋" w:hAnsi="仿宋" w:eastAsia="仿宋" w:cs="LinTimes"/>
          <w:sz w:val="28"/>
          <w:szCs w:val="28"/>
        </w:rPr>
        <w:t>本赛项包括理论知识和实际操作两部分，</w:t>
      </w:r>
      <w:r>
        <w:rPr>
          <w:rFonts w:hint="eastAsia" w:ascii="仿宋" w:hAnsi="仿宋" w:eastAsia="仿宋"/>
          <w:sz w:val="28"/>
          <w:szCs w:val="28"/>
        </w:rPr>
        <w:t>具体内容如下。</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4" w:name="_Toc165193472"/>
      <w:r>
        <w:rPr>
          <w:rFonts w:hint="eastAsia" w:ascii="仿宋" w:hAnsi="仿宋" w:eastAsia="仿宋"/>
          <w:b/>
          <w:bCs w:val="0"/>
          <w:sz w:val="28"/>
          <w:szCs w:val="28"/>
        </w:rPr>
        <w:t>（一）理论知识</w:t>
      </w:r>
      <w:bookmarkEnd w:id="4"/>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涉及知识为钳工工艺与装备、机械制图、公差配合、金属材料与热处理、电气、液压与气压、金属加工工艺基础、测量知识、智能制造及“四新”知识、质量与现场管理、安全防护等知识。</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5" w:name="_Toc165193473"/>
      <w:r>
        <w:rPr>
          <w:rFonts w:hint="eastAsia" w:ascii="仿宋" w:hAnsi="仿宋" w:eastAsia="仿宋"/>
          <w:b/>
          <w:bCs w:val="0"/>
          <w:sz w:val="28"/>
          <w:szCs w:val="28"/>
        </w:rPr>
        <w:t>（二）实际操作</w:t>
      </w:r>
      <w:bookmarkEnd w:id="5"/>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（1）锉削零件</w:t>
      </w:r>
      <w:r>
        <w:rPr>
          <w:rFonts w:ascii="仿宋" w:hAnsi="仿宋" w:eastAsia="仿宋"/>
          <w:sz w:val="28"/>
          <w:szCs w:val="28"/>
        </w:rPr>
        <w:t>。利用</w:t>
      </w:r>
      <w:r>
        <w:rPr>
          <w:rFonts w:hint="eastAsia" w:ascii="仿宋" w:hAnsi="仿宋" w:eastAsia="仿宋"/>
          <w:sz w:val="28"/>
          <w:szCs w:val="28"/>
        </w:rPr>
        <w:t>工具、设备</w:t>
      </w:r>
      <w:r>
        <w:rPr>
          <w:rFonts w:ascii="仿宋" w:hAnsi="仿宋" w:eastAsia="仿宋"/>
          <w:sz w:val="28"/>
          <w:szCs w:val="28"/>
        </w:rPr>
        <w:t>，按</w:t>
      </w:r>
      <w:r>
        <w:rPr>
          <w:rFonts w:hint="eastAsia" w:ascii="仿宋" w:hAnsi="仿宋" w:eastAsia="仿宋"/>
          <w:sz w:val="28"/>
          <w:szCs w:val="28"/>
        </w:rPr>
        <w:t>试题</w:t>
      </w:r>
      <w:r>
        <w:rPr>
          <w:rFonts w:ascii="仿宋" w:hAnsi="仿宋" w:eastAsia="仿宋"/>
          <w:sz w:val="28"/>
          <w:szCs w:val="28"/>
        </w:rPr>
        <w:t>图纸要求独立完成</w:t>
      </w:r>
      <w:r>
        <w:rPr>
          <w:rFonts w:hint="eastAsia" w:ascii="仿宋" w:hAnsi="仿宋" w:eastAsia="仿宋"/>
          <w:sz w:val="28"/>
          <w:szCs w:val="28"/>
        </w:rPr>
        <w:t>比</w:t>
      </w:r>
      <w:r>
        <w:rPr>
          <w:rFonts w:ascii="仿宋" w:hAnsi="仿宋" w:eastAsia="仿宋"/>
          <w:sz w:val="28"/>
          <w:szCs w:val="28"/>
        </w:rPr>
        <w:t>赛件加工。</w:t>
      </w:r>
      <w:r>
        <w:rPr>
          <w:rFonts w:hint="eastAsia" w:ascii="仿宋" w:hAnsi="仿宋" w:eastAsia="仿宋"/>
          <w:sz w:val="28"/>
          <w:szCs w:val="28"/>
        </w:rPr>
        <w:t>考核以下方面：</w:t>
      </w:r>
      <w:r>
        <w:rPr>
          <w:rFonts w:ascii="仿宋" w:hAnsi="仿宋" w:eastAsia="仿宋"/>
          <w:sz w:val="28"/>
          <w:szCs w:val="28"/>
        </w:rPr>
        <w:t>①</w:t>
      </w:r>
      <w:r>
        <w:rPr>
          <w:rFonts w:hint="eastAsia" w:ascii="仿宋" w:hAnsi="仿宋" w:eastAsia="仿宋"/>
          <w:sz w:val="28"/>
          <w:szCs w:val="28"/>
        </w:rPr>
        <w:t>合理选择加工工艺，分析零件的定位误差；</w:t>
      </w:r>
      <w:r>
        <w:rPr>
          <w:rFonts w:ascii="仿宋" w:hAnsi="仿宋" w:eastAsia="仿宋"/>
          <w:sz w:val="28"/>
          <w:szCs w:val="28"/>
        </w:rPr>
        <w:t>②</w:t>
      </w:r>
      <w:r>
        <w:rPr>
          <w:rFonts w:hint="eastAsia" w:ascii="仿宋" w:hAnsi="仿宋" w:eastAsia="仿宋"/>
          <w:sz w:val="28"/>
          <w:szCs w:val="28"/>
        </w:rPr>
        <w:t>编排工艺顺序的技巧，控制尺寸公差、形位公差的操作技巧；</w:t>
      </w:r>
      <w:r>
        <w:rPr>
          <w:rFonts w:ascii="仿宋" w:hAnsi="仿宋" w:eastAsia="仿宋"/>
          <w:sz w:val="28"/>
          <w:szCs w:val="28"/>
        </w:rPr>
        <w:t>③</w:t>
      </w:r>
      <w:r>
        <w:rPr>
          <w:rFonts w:hint="eastAsia" w:ascii="仿宋" w:hAnsi="仿宋" w:eastAsia="仿宋"/>
          <w:sz w:val="28"/>
          <w:szCs w:val="28"/>
        </w:rPr>
        <w:t>正确掌握锯削、锉削、钻、铰削等加工方法。</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职业素养。考核以下方面：①操作设备的规范性；② 工具、量具、</w:t>
      </w:r>
      <w:r>
        <w:rPr>
          <w:rFonts w:hint="eastAsia" w:ascii="仿宋" w:hAnsi="仿宋" w:eastAsia="仿宋"/>
          <w:sz w:val="28"/>
          <w:szCs w:val="28"/>
        </w:rPr>
        <w:t>刃</w:t>
      </w:r>
      <w:r>
        <w:rPr>
          <w:rFonts w:ascii="仿宋" w:hAnsi="仿宋" w:eastAsia="仿宋"/>
          <w:sz w:val="28"/>
          <w:szCs w:val="28"/>
        </w:rPr>
        <w:t>具的正确使用；③现场的安全、文明生产及安全防护（穿工作服、工作鞋、佩戴工作帽、护目镜）；④</w:t>
      </w:r>
      <w:r>
        <w:rPr>
          <w:rFonts w:hint="eastAsia" w:ascii="仿宋" w:hAnsi="仿宋" w:eastAsia="仿宋"/>
          <w:sz w:val="28"/>
          <w:szCs w:val="28"/>
        </w:rPr>
        <w:t>加工的工艺性</w:t>
      </w:r>
      <w:r>
        <w:rPr>
          <w:rFonts w:ascii="仿宋" w:hAnsi="仿宋" w:eastAsia="仿宋"/>
          <w:sz w:val="28"/>
          <w:szCs w:val="28"/>
        </w:rPr>
        <w:t>、条理性以及遇到问题时的应对状况等；⑤尊重赛场工作人员，爱惜赛场的设备和器材，保持赛位的整洁</w:t>
      </w:r>
      <w:r>
        <w:rPr>
          <w:rFonts w:hint="eastAsia" w:ascii="仿宋" w:hAnsi="仿宋" w:eastAsia="仿宋"/>
          <w:sz w:val="28"/>
          <w:szCs w:val="28"/>
        </w:rPr>
        <w:t>。</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firstLine="560" w:firstLineChars="200"/>
        <w:jc w:val="left"/>
        <w:textAlignment w:val="auto"/>
        <w:rPr>
          <w:rFonts w:hint="eastAsia" w:ascii="黑体" w:hAnsi="黑体" w:eastAsia="黑体" w:cs="黑体"/>
          <w:b w:val="0"/>
          <w:bCs w:val="0"/>
          <w:sz w:val="28"/>
          <w:szCs w:val="28"/>
        </w:rPr>
      </w:pPr>
      <w:bookmarkStart w:id="6" w:name="_Toc165193474"/>
      <w:r>
        <w:rPr>
          <w:rFonts w:hint="eastAsia" w:ascii="黑体" w:hAnsi="黑体" w:eastAsia="黑体" w:cs="黑体"/>
          <w:b w:val="0"/>
          <w:bCs w:val="0"/>
          <w:sz w:val="28"/>
          <w:szCs w:val="28"/>
        </w:rPr>
        <w:t>四、比赛方式</w:t>
      </w:r>
      <w:bookmarkEnd w:id="6"/>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本</w:t>
      </w:r>
      <w:r>
        <w:rPr>
          <w:rFonts w:ascii="仿宋" w:hAnsi="仿宋" w:eastAsia="仿宋"/>
          <w:sz w:val="28"/>
          <w:szCs w:val="28"/>
        </w:rPr>
        <w:t>赛</w:t>
      </w:r>
      <w:r>
        <w:rPr>
          <w:rFonts w:hint="eastAsia" w:ascii="仿宋" w:hAnsi="仿宋" w:eastAsia="仿宋"/>
          <w:sz w:val="28"/>
          <w:szCs w:val="28"/>
        </w:rPr>
        <w:t>项以单人</w:t>
      </w:r>
      <w:r>
        <w:rPr>
          <w:rFonts w:ascii="仿宋" w:hAnsi="仿宋" w:eastAsia="仿宋"/>
          <w:sz w:val="28"/>
          <w:szCs w:val="28"/>
        </w:rPr>
        <w:t>形式</w:t>
      </w:r>
      <w:r>
        <w:rPr>
          <w:rFonts w:hint="eastAsia" w:ascii="仿宋" w:hAnsi="仿宋" w:eastAsia="仿宋"/>
          <w:sz w:val="28"/>
          <w:szCs w:val="28"/>
        </w:rPr>
        <w:t>组织竞赛，</w:t>
      </w:r>
      <w:r>
        <w:rPr>
          <w:rFonts w:ascii="仿宋" w:hAnsi="仿宋" w:eastAsia="仿宋"/>
          <w:sz w:val="28"/>
          <w:szCs w:val="28"/>
        </w:rPr>
        <w:t>完成比赛规定的全部工作任务的时间为 3</w:t>
      </w:r>
      <w:r>
        <w:rPr>
          <w:rFonts w:hint="eastAsia" w:ascii="仿宋" w:hAnsi="仿宋" w:eastAsia="仿宋"/>
          <w:sz w:val="28"/>
          <w:szCs w:val="28"/>
        </w:rPr>
        <w:t>3</w:t>
      </w:r>
      <w:r>
        <w:rPr>
          <w:rFonts w:ascii="仿宋" w:hAnsi="仿宋" w:eastAsia="仿宋"/>
          <w:sz w:val="28"/>
          <w:szCs w:val="28"/>
        </w:rPr>
        <w:t xml:space="preserve">0 分钟。其中理论知识竞赛部分为 </w:t>
      </w:r>
      <w:r>
        <w:rPr>
          <w:rFonts w:hint="eastAsia" w:ascii="仿宋" w:hAnsi="仿宋" w:eastAsia="仿宋"/>
          <w:sz w:val="28"/>
          <w:szCs w:val="28"/>
        </w:rPr>
        <w:t>9</w:t>
      </w:r>
      <w:r>
        <w:rPr>
          <w:rFonts w:ascii="仿宋" w:hAnsi="仿宋" w:eastAsia="仿宋"/>
          <w:sz w:val="28"/>
          <w:szCs w:val="28"/>
        </w:rPr>
        <w:t>0 分钟，操作技能竞赛部分为 240 分钟（含</w:t>
      </w:r>
      <w:r>
        <w:rPr>
          <w:rFonts w:hint="eastAsia" w:ascii="仿宋" w:hAnsi="仿宋" w:eastAsia="仿宋"/>
          <w:sz w:val="28"/>
          <w:szCs w:val="28"/>
        </w:rPr>
        <w:t>比赛选手</w:t>
      </w:r>
      <w:r>
        <w:rPr>
          <w:rFonts w:ascii="仿宋" w:hAnsi="仿宋" w:eastAsia="仿宋"/>
          <w:sz w:val="28"/>
          <w:szCs w:val="28"/>
        </w:rPr>
        <w:t>准备时间）。</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firstLine="560" w:firstLineChars="200"/>
        <w:jc w:val="left"/>
        <w:textAlignment w:val="auto"/>
        <w:rPr>
          <w:rFonts w:hint="eastAsia" w:ascii="黑体" w:hAnsi="黑体" w:eastAsia="黑体" w:cs="黑体"/>
          <w:b w:val="0"/>
          <w:bCs w:val="0"/>
          <w:sz w:val="28"/>
          <w:szCs w:val="28"/>
        </w:rPr>
      </w:pPr>
      <w:bookmarkStart w:id="7" w:name="_Toc165193475"/>
      <w:r>
        <w:rPr>
          <w:rFonts w:hint="eastAsia" w:ascii="黑体" w:hAnsi="黑体" w:eastAsia="黑体" w:cs="黑体"/>
          <w:b w:val="0"/>
          <w:bCs w:val="0"/>
          <w:sz w:val="28"/>
          <w:szCs w:val="28"/>
        </w:rPr>
        <w:t>五、技术规范</w:t>
      </w:r>
      <w:bookmarkEnd w:id="7"/>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8" w:name="_Toc165193476"/>
      <w:r>
        <w:rPr>
          <w:rFonts w:ascii="仿宋" w:hAnsi="仿宋" w:eastAsia="仿宋"/>
          <w:b/>
          <w:bCs w:val="0"/>
          <w:sz w:val="28"/>
          <w:szCs w:val="28"/>
        </w:rPr>
        <w:t>（一）职业</w:t>
      </w:r>
      <w:r>
        <w:rPr>
          <w:rFonts w:hint="eastAsia" w:ascii="仿宋" w:hAnsi="仿宋" w:eastAsia="仿宋"/>
          <w:b/>
          <w:bCs w:val="0"/>
          <w:sz w:val="28"/>
          <w:szCs w:val="28"/>
        </w:rPr>
        <w:t>守则</w:t>
      </w:r>
      <w:bookmarkEnd w:id="8"/>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遵纪守法，忠于祖国</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 w:hAnsi="仿宋" w:eastAsia="仿宋"/>
          <w:sz w:val="28"/>
          <w:szCs w:val="28"/>
        </w:rPr>
        <w:t>恪尽职守，爱岗敬业</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严守规程，安全操作</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hint="eastAsia" w:ascii="仿宋" w:hAnsi="仿宋" w:eastAsia="仿宋"/>
          <w:sz w:val="28"/>
          <w:szCs w:val="28"/>
        </w:rPr>
        <w:t>勇于创新，精益求精</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hint="eastAsia" w:ascii="仿宋" w:hAnsi="仿宋" w:eastAsia="仿宋"/>
          <w:sz w:val="28"/>
          <w:szCs w:val="28"/>
        </w:rPr>
        <w:t>爱护设备，文明生产</w:t>
      </w:r>
      <w:r>
        <w:rPr>
          <w:rFonts w:ascii="仿宋" w:hAnsi="仿宋" w:eastAsia="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281" w:firstLineChars="100"/>
        <w:jc w:val="left"/>
        <w:textAlignment w:val="auto"/>
        <w:rPr>
          <w:rFonts w:ascii="仿宋" w:hAnsi="仿宋" w:eastAsia="仿宋"/>
          <w:b/>
          <w:bCs w:val="0"/>
          <w:sz w:val="28"/>
          <w:szCs w:val="28"/>
        </w:rPr>
      </w:pPr>
      <w:bookmarkStart w:id="9" w:name="_Toc165193477"/>
      <w:r>
        <w:rPr>
          <w:rFonts w:ascii="仿宋" w:hAnsi="仿宋" w:eastAsia="仿宋"/>
          <w:b/>
          <w:bCs w:val="0"/>
          <w:sz w:val="28"/>
          <w:szCs w:val="28"/>
        </w:rPr>
        <w:t>（二）职业标准</w:t>
      </w:r>
      <w:bookmarkEnd w:id="9"/>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按照</w:t>
      </w:r>
      <w:r>
        <w:rPr>
          <w:rFonts w:hint="eastAsia" w:ascii="仿宋" w:hAnsi="仿宋" w:eastAsia="仿宋"/>
          <w:sz w:val="28"/>
          <w:szCs w:val="28"/>
        </w:rPr>
        <w:t>国家职业标准</w:t>
      </w:r>
      <w:r>
        <w:rPr>
          <w:rFonts w:ascii="仿宋" w:hAnsi="仿宋" w:eastAsia="仿宋"/>
          <w:sz w:val="28"/>
          <w:szCs w:val="28"/>
        </w:rPr>
        <w:t>《</w:t>
      </w:r>
      <w:r>
        <w:rPr>
          <w:rFonts w:hint="eastAsia" w:ascii="仿宋" w:hAnsi="仿宋" w:eastAsia="仿宋"/>
          <w:sz w:val="28"/>
          <w:szCs w:val="28"/>
        </w:rPr>
        <w:t>钳工</w:t>
      </w:r>
      <w:r>
        <w:rPr>
          <w:rFonts w:ascii="仿宋" w:hAnsi="仿宋" w:eastAsia="仿宋"/>
          <w:sz w:val="28"/>
          <w:szCs w:val="28"/>
        </w:rPr>
        <w:t>国家职业技能标准（2</w:t>
      </w:r>
      <w:r>
        <w:rPr>
          <w:rFonts w:hint="eastAsia" w:ascii="仿宋" w:hAnsi="仿宋" w:eastAsia="仿宋"/>
          <w:sz w:val="28"/>
          <w:szCs w:val="28"/>
        </w:rPr>
        <w:t>020</w:t>
      </w:r>
      <w:r>
        <w:rPr>
          <w:rFonts w:ascii="仿宋" w:hAnsi="仿宋" w:eastAsia="仿宋"/>
          <w:sz w:val="28"/>
          <w:szCs w:val="28"/>
        </w:rPr>
        <w:t xml:space="preserve"> 年</w:t>
      </w:r>
      <w:r>
        <w:rPr>
          <w:rFonts w:hint="eastAsia" w:ascii="仿宋" w:hAnsi="仿宋" w:eastAsia="仿宋"/>
          <w:sz w:val="28"/>
          <w:szCs w:val="28"/>
        </w:rPr>
        <w:t>版</w:t>
      </w:r>
      <w:r>
        <w:rPr>
          <w:rFonts w:ascii="仿宋" w:hAnsi="仿宋" w:eastAsia="仿宋"/>
          <w:sz w:val="28"/>
          <w:szCs w:val="28"/>
        </w:rPr>
        <w:t>）》</w:t>
      </w:r>
      <w:r>
        <w:rPr>
          <w:rFonts w:hint="eastAsia" w:ascii="仿宋" w:hAnsi="仿宋" w:eastAsia="仿宋"/>
          <w:sz w:val="28"/>
          <w:szCs w:val="28"/>
        </w:rPr>
        <w:t>职业资格三级（高级工）标准实施。</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281" w:firstLineChars="100"/>
        <w:jc w:val="left"/>
        <w:textAlignment w:val="auto"/>
        <w:rPr>
          <w:rFonts w:ascii="仿宋" w:hAnsi="仿宋" w:eastAsia="仿宋"/>
          <w:b/>
          <w:bCs w:val="0"/>
          <w:sz w:val="28"/>
          <w:szCs w:val="28"/>
        </w:rPr>
      </w:pPr>
      <w:bookmarkStart w:id="10" w:name="_Toc165193478"/>
      <w:r>
        <w:rPr>
          <w:rFonts w:hint="eastAsia" w:ascii="仿宋" w:hAnsi="仿宋" w:eastAsia="仿宋"/>
          <w:b/>
          <w:bCs w:val="0"/>
          <w:sz w:val="28"/>
          <w:szCs w:val="28"/>
        </w:rPr>
        <w:t>（三）命题范围</w:t>
      </w:r>
      <w:bookmarkEnd w:id="10"/>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参照相关专业职业技能鉴定标准中关于高级工应具备的理论知识和操作技能要求，适当体现现代加工技术和新知识，</w:t>
      </w:r>
      <w:r>
        <w:rPr>
          <w:rFonts w:hint="eastAsia" w:ascii="仿宋" w:hAnsi="仿宋" w:eastAsia="仿宋"/>
          <w:sz w:val="28"/>
          <w:szCs w:val="28"/>
        </w:rPr>
        <w:t>同时</w:t>
      </w:r>
      <w:r>
        <w:rPr>
          <w:rFonts w:ascii="仿宋" w:hAnsi="仿宋" w:eastAsia="仿宋"/>
          <w:sz w:val="28"/>
          <w:szCs w:val="28"/>
        </w:rPr>
        <w:t>紧密联系企业生产实际。</w:t>
      </w:r>
      <w:r>
        <w:rPr>
          <w:rFonts w:hint="eastAsia" w:ascii="仿宋" w:hAnsi="仿宋" w:eastAsia="仿宋"/>
          <w:sz w:val="28"/>
          <w:szCs w:val="28"/>
        </w:rPr>
        <w:t>复习参考资料：1.《钳工》（高级）机械工业出版社</w:t>
      </w:r>
      <w:r>
        <w:rPr>
          <w:rFonts w:ascii="仿宋" w:hAnsi="仿宋" w:eastAsia="仿宋"/>
          <w:sz w:val="28"/>
          <w:szCs w:val="28"/>
        </w:rPr>
        <w:t>ISBN978-7—111—</w:t>
      </w:r>
      <w:r>
        <w:rPr>
          <w:rFonts w:hint="eastAsia" w:ascii="仿宋" w:hAnsi="仿宋" w:eastAsia="仿宋"/>
          <w:sz w:val="28"/>
          <w:szCs w:val="28"/>
        </w:rPr>
        <w:t>39896</w:t>
      </w:r>
      <w:r>
        <w:rPr>
          <w:rFonts w:ascii="仿宋" w:hAnsi="仿宋" w:eastAsia="仿宋"/>
          <w:sz w:val="28"/>
          <w:szCs w:val="28"/>
        </w:rPr>
        <w:t>—</w:t>
      </w:r>
      <w:r>
        <w:rPr>
          <w:rFonts w:hint="eastAsia" w:ascii="仿宋" w:hAnsi="仿宋" w:eastAsia="仿宋"/>
          <w:sz w:val="28"/>
          <w:szCs w:val="28"/>
        </w:rPr>
        <w:t>7；2.《机械基础》（高级）机械工业出版社</w:t>
      </w:r>
      <w:r>
        <w:rPr>
          <w:rFonts w:ascii="仿宋" w:hAnsi="仿宋" w:eastAsia="仿宋"/>
          <w:sz w:val="28"/>
          <w:szCs w:val="28"/>
        </w:rPr>
        <w:t>ISBN</w:t>
      </w:r>
      <w:r>
        <w:rPr>
          <w:rFonts w:hint="eastAsia" w:ascii="仿宋" w:hAnsi="仿宋" w:eastAsia="仿宋"/>
          <w:sz w:val="28"/>
          <w:szCs w:val="28"/>
        </w:rPr>
        <w:t>978-</w:t>
      </w:r>
      <w:r>
        <w:rPr>
          <w:rFonts w:ascii="仿宋" w:hAnsi="仿宋" w:eastAsia="仿宋"/>
          <w:sz w:val="28"/>
          <w:szCs w:val="28"/>
        </w:rPr>
        <w:t>7-111-</w:t>
      </w:r>
      <w:r>
        <w:rPr>
          <w:rFonts w:hint="eastAsia" w:ascii="仿宋" w:hAnsi="仿宋" w:eastAsia="仿宋"/>
          <w:sz w:val="28"/>
          <w:szCs w:val="28"/>
        </w:rPr>
        <w:t>18233</w:t>
      </w:r>
      <w:r>
        <w:rPr>
          <w:rFonts w:ascii="仿宋" w:hAnsi="仿宋" w:eastAsia="仿宋"/>
          <w:sz w:val="28"/>
          <w:szCs w:val="28"/>
        </w:rPr>
        <w:t>-7</w:t>
      </w:r>
      <w:r>
        <w:rPr>
          <w:rFonts w:hint="eastAsia" w:ascii="仿宋" w:hAnsi="仿宋" w:eastAsia="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11" w:name="_Toc165193479"/>
      <w:r>
        <w:rPr>
          <w:rFonts w:ascii="仿宋" w:hAnsi="仿宋" w:eastAsia="仿宋"/>
          <w:b/>
          <w:bCs w:val="0"/>
          <w:sz w:val="28"/>
          <w:szCs w:val="28"/>
        </w:rPr>
        <w:t>（四）</w:t>
      </w:r>
      <w:r>
        <w:rPr>
          <w:rFonts w:hint="eastAsia" w:ascii="仿宋" w:hAnsi="仿宋" w:eastAsia="仿宋"/>
          <w:b/>
          <w:bCs w:val="0"/>
          <w:sz w:val="28"/>
          <w:szCs w:val="28"/>
        </w:rPr>
        <w:t>比</w:t>
      </w:r>
      <w:r>
        <w:rPr>
          <w:rFonts w:ascii="仿宋" w:hAnsi="仿宋" w:eastAsia="仿宋"/>
          <w:b/>
          <w:bCs w:val="0"/>
          <w:sz w:val="28"/>
          <w:szCs w:val="28"/>
        </w:rPr>
        <w:t>赛试题</w:t>
      </w:r>
      <w:bookmarkEnd w:id="11"/>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理论知识比</w:t>
      </w:r>
      <w:r>
        <w:rPr>
          <w:rFonts w:ascii="仿宋" w:hAnsi="仿宋" w:eastAsia="仿宋"/>
          <w:sz w:val="28"/>
          <w:szCs w:val="28"/>
        </w:rPr>
        <w:t>赛采用闭卷进行。</w:t>
      </w:r>
      <w:r>
        <w:rPr>
          <w:rFonts w:hint="eastAsia" w:ascii="仿宋" w:hAnsi="仿宋" w:eastAsia="仿宋"/>
          <w:sz w:val="28"/>
          <w:szCs w:val="28"/>
        </w:rPr>
        <w:t>在规定时间完成笔试答题，考题分填空、选择、判断、简答及综合应用等题型。</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实际操作比</w:t>
      </w:r>
      <w:r>
        <w:rPr>
          <w:rFonts w:ascii="仿宋" w:hAnsi="仿宋" w:eastAsia="仿宋"/>
          <w:sz w:val="28"/>
          <w:szCs w:val="28"/>
        </w:rPr>
        <w:t>赛采用公开赛题的方式进行，比赛开始前由赛项执委会安排人员现场随机</w:t>
      </w:r>
      <w:r>
        <w:rPr>
          <w:rFonts w:hint="eastAsia" w:ascii="仿宋" w:hAnsi="仿宋" w:eastAsia="仿宋"/>
          <w:sz w:val="28"/>
          <w:szCs w:val="28"/>
        </w:rPr>
        <w:t>从赛题题库</w:t>
      </w:r>
      <w:r>
        <w:rPr>
          <w:rFonts w:ascii="仿宋" w:hAnsi="仿宋" w:eastAsia="仿宋"/>
          <w:sz w:val="28"/>
          <w:szCs w:val="28"/>
        </w:rPr>
        <w:t>抽取 1 套作为正式赛题</w:t>
      </w:r>
      <w:r>
        <w:rPr>
          <w:rFonts w:hint="eastAsia" w:ascii="仿宋" w:hAnsi="仿宋" w:eastAsia="仿宋"/>
          <w:sz w:val="28"/>
          <w:szCs w:val="28"/>
        </w:rPr>
        <w:t>，</w:t>
      </w:r>
      <w:r>
        <w:rPr>
          <w:rFonts w:ascii="仿宋" w:hAnsi="仿宋" w:eastAsia="仿宋"/>
          <w:sz w:val="28"/>
          <w:szCs w:val="28"/>
        </w:rPr>
        <w:t>赛前在</w:t>
      </w:r>
      <w:r>
        <w:rPr>
          <w:rFonts w:hint="eastAsia" w:ascii="仿宋" w:hAnsi="仿宋" w:eastAsia="仿宋"/>
          <w:sz w:val="28"/>
          <w:szCs w:val="28"/>
        </w:rPr>
        <w:t>比</w:t>
      </w:r>
      <w:r>
        <w:rPr>
          <w:rFonts w:ascii="仿宋" w:hAnsi="仿宋" w:eastAsia="仿宋"/>
          <w:sz w:val="28"/>
          <w:szCs w:val="28"/>
        </w:rPr>
        <w:t>赛平台上公布</w:t>
      </w:r>
      <w:r>
        <w:rPr>
          <w:rFonts w:hint="eastAsia" w:ascii="仿宋" w:hAnsi="仿宋" w:eastAsia="仿宋"/>
          <w:sz w:val="28"/>
          <w:szCs w:val="28"/>
        </w:rPr>
        <w:t>。</w:t>
      </w:r>
      <w:bookmarkStart w:id="12" w:name="_Toc165193480"/>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六、评分规则</w:t>
      </w:r>
      <w:bookmarkEnd w:id="12"/>
      <w:bookmarkStart w:id="13" w:name="_Toc165193481"/>
    </w:p>
    <w:p>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（一）评分标准</w:t>
      </w:r>
      <w:bookmarkEnd w:id="13"/>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评分标准的制订原则</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参照《</w:t>
      </w:r>
      <w:r>
        <w:rPr>
          <w:rFonts w:hint="eastAsia" w:ascii="仿宋" w:hAnsi="仿宋" w:eastAsia="仿宋"/>
          <w:sz w:val="28"/>
          <w:szCs w:val="28"/>
        </w:rPr>
        <w:t>钳</w:t>
      </w:r>
      <w:r>
        <w:rPr>
          <w:rFonts w:ascii="仿宋" w:hAnsi="仿宋" w:eastAsia="仿宋"/>
          <w:sz w:val="28"/>
          <w:szCs w:val="28"/>
        </w:rPr>
        <w:t>工国家职业标准》中关于高级工的要求，结合国家及行业的相关标准、规范要求进行评分，全面评价参赛选手的职业能力，本着“严谨规范、公正公平、可操作性强”的原则制定评分标准。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 w:hAnsi="仿宋" w:eastAsia="仿宋"/>
          <w:sz w:val="28"/>
          <w:szCs w:val="28"/>
        </w:rPr>
        <w:t>计分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理论知识考试总分</w:t>
      </w:r>
      <w:r>
        <w:rPr>
          <w:rFonts w:ascii="仿宋" w:hAnsi="仿宋" w:eastAsia="仿宋"/>
          <w:sz w:val="28"/>
          <w:szCs w:val="28"/>
        </w:rPr>
        <w:t>100</w:t>
      </w:r>
      <w:r>
        <w:rPr>
          <w:rFonts w:hint="eastAsia" w:ascii="仿宋" w:hAnsi="仿宋" w:eastAsia="仿宋"/>
          <w:sz w:val="28"/>
          <w:szCs w:val="28"/>
        </w:rPr>
        <w:t>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 xml:space="preserve">选手理论知识考试得分 </w:t>
      </w:r>
      <w:r>
        <w:rPr>
          <w:rFonts w:ascii="仿宋" w:hAnsi="仿宋" w:eastAsia="仿宋"/>
          <w:sz w:val="28"/>
          <w:szCs w:val="28"/>
        </w:rPr>
        <w:t>=</w:t>
      </w:r>
      <w:r>
        <w:rPr>
          <w:rFonts w:hint="eastAsia" w:ascii="仿宋" w:hAnsi="仿宋" w:eastAsia="仿宋"/>
          <w:sz w:val="28"/>
          <w:szCs w:val="28"/>
        </w:rPr>
        <w:t>理论知识考试得分×</w:t>
      </w:r>
      <w:r>
        <w:rPr>
          <w:rFonts w:ascii="仿宋" w:hAnsi="仿宋" w:eastAsia="仿宋"/>
          <w:sz w:val="28"/>
          <w:szCs w:val="28"/>
        </w:rPr>
        <w:t>30</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实际操作技能考核总分</w:t>
      </w:r>
      <w:r>
        <w:rPr>
          <w:rFonts w:ascii="仿宋" w:hAnsi="仿宋" w:eastAsia="仿宋"/>
          <w:sz w:val="28"/>
          <w:szCs w:val="28"/>
        </w:rPr>
        <w:t>100</w:t>
      </w:r>
      <w:r>
        <w:rPr>
          <w:rFonts w:hint="eastAsia" w:ascii="仿宋" w:hAnsi="仿宋" w:eastAsia="仿宋"/>
          <w:sz w:val="28"/>
          <w:szCs w:val="28"/>
        </w:rPr>
        <w:t>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 xml:space="preserve">选手实际操作技能考核得分 </w:t>
      </w:r>
      <w:r>
        <w:rPr>
          <w:rFonts w:ascii="仿宋" w:hAnsi="仿宋" w:eastAsia="仿宋"/>
          <w:sz w:val="28"/>
          <w:szCs w:val="28"/>
        </w:rPr>
        <w:t>=</w:t>
      </w:r>
      <w:r>
        <w:rPr>
          <w:rFonts w:hint="eastAsia" w:ascii="仿宋" w:hAnsi="仿宋" w:eastAsia="仿宋"/>
          <w:sz w:val="28"/>
          <w:szCs w:val="28"/>
        </w:rPr>
        <w:t>实操项目得分×</w:t>
      </w:r>
      <w:r>
        <w:rPr>
          <w:rFonts w:ascii="仿宋" w:hAnsi="仿宋" w:eastAsia="仿宋"/>
          <w:sz w:val="28"/>
          <w:szCs w:val="28"/>
        </w:rPr>
        <w:t>70</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 xml:space="preserve">选手总成绩 </w:t>
      </w:r>
      <w:r>
        <w:rPr>
          <w:rFonts w:ascii="仿宋" w:hAnsi="仿宋" w:eastAsia="仿宋"/>
          <w:sz w:val="28"/>
          <w:szCs w:val="28"/>
        </w:rPr>
        <w:t>=</w:t>
      </w:r>
      <w:r>
        <w:rPr>
          <w:rFonts w:hint="eastAsia" w:ascii="仿宋" w:hAnsi="仿宋" w:eastAsia="仿宋"/>
          <w:sz w:val="28"/>
          <w:szCs w:val="28"/>
        </w:rPr>
        <w:t>理论知识考试成绩</w:t>
      </w:r>
      <w:r>
        <w:rPr>
          <w:rFonts w:ascii="仿宋" w:hAnsi="仿宋" w:eastAsia="仿宋"/>
          <w:sz w:val="28"/>
          <w:szCs w:val="28"/>
        </w:rPr>
        <w:t>+</w:t>
      </w:r>
      <w:r>
        <w:rPr>
          <w:rFonts w:hint="eastAsia" w:ascii="仿宋" w:hAnsi="仿宋" w:eastAsia="仿宋"/>
          <w:sz w:val="28"/>
          <w:szCs w:val="28"/>
        </w:rPr>
        <w:t>实际操作技能考核成绩。</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14" w:name="_Toc165193482"/>
      <w:r>
        <w:rPr>
          <w:rFonts w:ascii="仿宋" w:hAnsi="仿宋" w:eastAsia="仿宋"/>
          <w:b/>
          <w:bCs w:val="0"/>
          <w:sz w:val="28"/>
          <w:szCs w:val="28"/>
        </w:rPr>
        <w:t>（二）评分方法</w:t>
      </w:r>
      <w:bookmarkEnd w:id="14"/>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评分原则</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理论</w:t>
      </w:r>
      <w:r>
        <w:rPr>
          <w:rFonts w:ascii="仿宋" w:hAnsi="仿宋" w:eastAsia="仿宋"/>
          <w:sz w:val="28"/>
          <w:szCs w:val="28"/>
        </w:rPr>
        <w:t>比赛为所有选手同时</w:t>
      </w:r>
      <w:r>
        <w:rPr>
          <w:rFonts w:hint="eastAsia" w:ascii="仿宋" w:hAnsi="仿宋" w:eastAsia="仿宋"/>
          <w:sz w:val="28"/>
          <w:szCs w:val="28"/>
        </w:rPr>
        <w:t>比</w:t>
      </w:r>
      <w:r>
        <w:rPr>
          <w:rFonts w:ascii="仿宋" w:hAnsi="仿宋" w:eastAsia="仿宋"/>
          <w:sz w:val="28"/>
          <w:szCs w:val="28"/>
        </w:rPr>
        <w:t>赛，并提供足够</w:t>
      </w:r>
      <w:r>
        <w:rPr>
          <w:rFonts w:hint="eastAsia" w:ascii="仿宋" w:hAnsi="仿宋" w:eastAsia="仿宋"/>
          <w:sz w:val="28"/>
          <w:szCs w:val="28"/>
        </w:rPr>
        <w:t>容纳考生的场地。</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实际操作比赛的比赛成品</w:t>
      </w:r>
      <w:r>
        <w:rPr>
          <w:rFonts w:ascii="仿宋" w:hAnsi="仿宋" w:eastAsia="仿宋"/>
          <w:sz w:val="28"/>
          <w:szCs w:val="28"/>
        </w:rPr>
        <w:t>件</w:t>
      </w:r>
      <w:r>
        <w:rPr>
          <w:rFonts w:hint="eastAsia" w:ascii="仿宋" w:hAnsi="仿宋" w:eastAsia="仿宋"/>
          <w:sz w:val="28"/>
          <w:szCs w:val="28"/>
        </w:rPr>
        <w:t>的检测由专业质检人员进行检验</w:t>
      </w:r>
      <w:r>
        <w:rPr>
          <w:rFonts w:ascii="仿宋" w:hAnsi="仿宋" w:eastAsia="仿宋"/>
          <w:sz w:val="28"/>
          <w:szCs w:val="28"/>
        </w:rPr>
        <w:t>；职业素养等将由裁判检测组和现场裁判依据</w:t>
      </w:r>
      <w:r>
        <w:rPr>
          <w:rFonts w:hint="eastAsia" w:ascii="仿宋" w:hAnsi="仿宋" w:eastAsia="仿宋"/>
          <w:sz w:val="28"/>
          <w:szCs w:val="28"/>
        </w:rPr>
        <w:t>考试记录结合</w:t>
      </w:r>
      <w:r>
        <w:rPr>
          <w:rFonts w:ascii="仿宋" w:hAnsi="仿宋" w:eastAsia="仿宋"/>
          <w:sz w:val="28"/>
          <w:szCs w:val="28"/>
        </w:rPr>
        <w:t>评分标准进行评分。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检测人员组成</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赛前成立现场裁判组和赛件检测评判裁判组，进行操作技能赛件的手工检测、主观分评价、职业素养评价和仪器检测监督工作。</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评分流程</w:t>
      </w:r>
    </w:p>
    <w:p>
      <w:pPr>
        <w:pStyle w:val="2"/>
        <w:keepNext w:val="0"/>
        <w:keepLines w:val="0"/>
        <w:pageBreakBefore w:val="0"/>
        <w:widowControl w:val="0"/>
        <w:kinsoku/>
        <w:wordWrap/>
        <w:overflowPunct/>
        <w:topLinePunct w:val="0"/>
        <w:autoSpaceDE/>
        <w:autoSpaceDN/>
        <w:bidi w:val="0"/>
        <w:adjustRightInd/>
        <w:snapToGrid/>
        <w:spacing w:after="0" w:line="480" w:lineRule="exact"/>
        <w:ind w:left="0" w:leftChars="0" w:firstLine="560" w:firstLineChars="200"/>
        <w:textAlignment w:val="auto"/>
        <w:rPr>
          <w:rFonts w:ascii="仿宋" w:hAnsi="仿宋" w:eastAsia="仿宋"/>
          <w:sz w:val="28"/>
          <w:szCs w:val="28"/>
        </w:rPr>
      </w:pPr>
      <w:r>
        <w:rPr>
          <w:rFonts w:ascii="仿宋" w:hAnsi="仿宋" w:eastAsia="仿宋"/>
          <w:sz w:val="28"/>
          <w:szCs w:val="28"/>
        </w:rPr>
        <w:t>赛件检测在裁判长领导下，由检测组在加密状态下负责实施。赛件检测依据图纸和评分表上的要求进行。检测数据任何人不得修改，并必须立即打印纸质文件提交给裁判长妥善保存。主观评分和手工测量数据应该由每一个参与评判的裁判员签字确认后提交给裁判长妥善保存。</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保密守则</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赛件封箱、重新编号由裁判组指定专人负责。</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操作技能评分表在评分负责人的主持下当场启封。</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参赛选手的比赛成绩由赛项</w:t>
      </w:r>
      <w:r>
        <w:rPr>
          <w:rFonts w:hint="eastAsia" w:ascii="仿宋" w:hAnsi="仿宋" w:eastAsia="仿宋"/>
          <w:sz w:val="28"/>
          <w:szCs w:val="28"/>
        </w:rPr>
        <w:t>组</w:t>
      </w:r>
      <w:r>
        <w:rPr>
          <w:rFonts w:ascii="仿宋" w:hAnsi="仿宋" w:eastAsia="仿宋"/>
          <w:sz w:val="28"/>
          <w:szCs w:val="28"/>
        </w:rPr>
        <w:t>委会审定后，统一公布。</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15" w:name="_Toc165193483"/>
      <w:r>
        <w:rPr>
          <w:rFonts w:ascii="仿宋" w:hAnsi="仿宋" w:eastAsia="仿宋"/>
          <w:b/>
          <w:bCs w:val="0"/>
          <w:sz w:val="28"/>
          <w:szCs w:val="28"/>
        </w:rPr>
        <w:t>（三）成绩复核</w:t>
      </w:r>
      <w:bookmarkEnd w:id="15"/>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为保障成绩评判的准确性，须对赛项总成绩排名前30%的所有参赛选手的成绩进行复核；对其余成绩进行抽检复核，抽检覆盖率不得低于15%。如发现成绩错误以书面方式及时告知裁判长，由裁判长更正成绩并签字确认。复核、抽检错误率超</w:t>
      </w:r>
      <w:r>
        <w:rPr>
          <w:rFonts w:hint="eastAsia" w:ascii="仿宋" w:hAnsi="仿宋" w:eastAsia="仿宋"/>
          <w:sz w:val="28"/>
          <w:szCs w:val="28"/>
        </w:rPr>
        <w:t>过</w:t>
      </w:r>
      <w:r>
        <w:rPr>
          <w:rFonts w:ascii="仿宋" w:hAnsi="仿宋" w:eastAsia="仿宋"/>
          <w:sz w:val="28"/>
          <w:szCs w:val="28"/>
        </w:rPr>
        <w:t>5%的，裁判组将对所有成绩进行复核。</w:t>
      </w:r>
      <w:bookmarkStart w:id="16" w:name="_Toc165193484"/>
    </w:p>
    <w:p>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（四）最终成绩</w:t>
      </w:r>
      <w:bookmarkEnd w:id="16"/>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赛项最终得分按 100 分制计分。最终成绩经复核无误，由裁判长、监督人员和仲裁人员签字确认后公布。</w:t>
      </w:r>
      <w:bookmarkStart w:id="17" w:name="_Toc165193485"/>
    </w:p>
    <w:p>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ascii="仿宋" w:hAnsi="仿宋" w:eastAsia="仿宋"/>
          <w:b/>
          <w:bCs/>
          <w:sz w:val="28"/>
          <w:szCs w:val="28"/>
        </w:rPr>
      </w:pPr>
      <w:r>
        <w:rPr>
          <w:rFonts w:ascii="仿宋" w:hAnsi="仿宋" w:eastAsia="仿宋"/>
          <w:b/>
          <w:bCs/>
          <w:sz w:val="28"/>
          <w:szCs w:val="28"/>
        </w:rPr>
        <w:t>（五）名次排序方法</w:t>
      </w:r>
      <w:bookmarkEnd w:id="17"/>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名次的排序根据成绩评定结果从高到低依次排定。</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个人成绩相同者，名次以赛件检测成绩排定。</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firstLine="560" w:firstLineChars="200"/>
        <w:jc w:val="left"/>
        <w:textAlignment w:val="auto"/>
        <w:rPr>
          <w:rFonts w:hint="eastAsia" w:ascii="黑体" w:hAnsi="黑体" w:eastAsia="黑体" w:cs="黑体"/>
          <w:b w:val="0"/>
          <w:bCs w:val="0"/>
          <w:sz w:val="28"/>
          <w:szCs w:val="28"/>
        </w:rPr>
      </w:pPr>
      <w:bookmarkStart w:id="18" w:name="_Toc165193486"/>
      <w:r>
        <w:rPr>
          <w:rFonts w:hint="eastAsia" w:ascii="黑体" w:hAnsi="黑体" w:eastAsia="黑体" w:cs="黑体"/>
          <w:b w:val="0"/>
          <w:bCs w:val="0"/>
          <w:sz w:val="28"/>
          <w:szCs w:val="28"/>
        </w:rPr>
        <w:t>七、技术环境</w:t>
      </w:r>
      <w:bookmarkEnd w:id="18"/>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eastAsia="仿宋_GB2312"/>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比赛场地需照明良好，光线充足，工位、工件按统一编号，比赛选手抽号就岗。</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毛坯料准备</w:t>
      </w:r>
      <w:r>
        <w:rPr>
          <w:rFonts w:ascii="仿宋" w:hAnsi="仿宋" w:eastAsia="仿宋"/>
          <w:sz w:val="28"/>
          <w:szCs w:val="28"/>
        </w:rPr>
        <w:t>：</w:t>
      </w:r>
      <w:r>
        <w:rPr>
          <w:rFonts w:hint="eastAsia" w:ascii="仿宋" w:hAnsi="仿宋" w:eastAsia="仿宋"/>
          <w:sz w:val="28"/>
          <w:szCs w:val="28"/>
        </w:rPr>
        <w:t>大赛组委会按实操比赛考试备料图准备，数量根据比赛选手人数决定。</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设备准备：由承办单位根据比赛人数按如下准备：</w:t>
      </w:r>
    </w:p>
    <w:tbl>
      <w:tblPr>
        <w:tblStyle w:val="11"/>
        <w:tblW w:w="0" w:type="auto"/>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1"/>
        <w:gridCol w:w="1696"/>
        <w:gridCol w:w="2556"/>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301"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 w:hAnsi="仿宋" w:eastAsia="仿宋"/>
                <w:sz w:val="28"/>
                <w:szCs w:val="28"/>
              </w:rPr>
            </w:pPr>
            <w:r>
              <w:rPr>
                <w:rFonts w:hint="eastAsia" w:ascii="仿宋" w:hAnsi="仿宋" w:eastAsia="仿宋"/>
                <w:sz w:val="28"/>
                <w:szCs w:val="28"/>
              </w:rPr>
              <w:t>序号</w:t>
            </w:r>
          </w:p>
        </w:tc>
        <w:tc>
          <w:tcPr>
            <w:tcW w:w="169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名   称</w:t>
            </w:r>
          </w:p>
        </w:tc>
        <w:tc>
          <w:tcPr>
            <w:tcW w:w="255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数量</w:t>
            </w:r>
          </w:p>
        </w:tc>
        <w:tc>
          <w:tcPr>
            <w:tcW w:w="1560"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301"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1</w:t>
            </w:r>
          </w:p>
        </w:tc>
        <w:tc>
          <w:tcPr>
            <w:tcW w:w="169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划线平台</w:t>
            </w:r>
          </w:p>
        </w:tc>
        <w:tc>
          <w:tcPr>
            <w:tcW w:w="255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按考生人数预备</w:t>
            </w:r>
          </w:p>
        </w:tc>
        <w:tc>
          <w:tcPr>
            <w:tcW w:w="1560" w:type="dxa"/>
          </w:tcPr>
          <w:p>
            <w:pPr>
              <w:spacing w:line="276" w:lineRule="auto"/>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301"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2</w:t>
            </w:r>
          </w:p>
        </w:tc>
        <w:tc>
          <w:tcPr>
            <w:tcW w:w="169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台钻</w:t>
            </w:r>
          </w:p>
        </w:tc>
        <w:tc>
          <w:tcPr>
            <w:tcW w:w="255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按考生人数预备</w:t>
            </w:r>
          </w:p>
        </w:tc>
        <w:tc>
          <w:tcPr>
            <w:tcW w:w="1560" w:type="dxa"/>
          </w:tcPr>
          <w:p>
            <w:pPr>
              <w:spacing w:line="276" w:lineRule="auto"/>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301"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3</w:t>
            </w:r>
          </w:p>
        </w:tc>
        <w:tc>
          <w:tcPr>
            <w:tcW w:w="169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台虎钳</w:t>
            </w:r>
          </w:p>
        </w:tc>
        <w:tc>
          <w:tcPr>
            <w:tcW w:w="255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1/人</w:t>
            </w:r>
          </w:p>
        </w:tc>
        <w:tc>
          <w:tcPr>
            <w:tcW w:w="1560" w:type="dxa"/>
          </w:tcPr>
          <w:p>
            <w:pPr>
              <w:spacing w:line="276" w:lineRule="auto"/>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301"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4</w:t>
            </w:r>
          </w:p>
        </w:tc>
        <w:tc>
          <w:tcPr>
            <w:tcW w:w="169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砂轮机</w:t>
            </w:r>
          </w:p>
        </w:tc>
        <w:tc>
          <w:tcPr>
            <w:tcW w:w="2556" w:type="dxa"/>
            <w:vAlign w:val="center"/>
          </w:tcPr>
          <w:p>
            <w:pPr>
              <w:spacing w:line="276" w:lineRule="auto"/>
              <w:jc w:val="center"/>
              <w:rPr>
                <w:rFonts w:ascii="仿宋" w:hAnsi="仿宋" w:eastAsia="仿宋"/>
                <w:sz w:val="28"/>
                <w:szCs w:val="28"/>
              </w:rPr>
            </w:pPr>
            <w:r>
              <w:rPr>
                <w:rFonts w:hint="eastAsia" w:ascii="仿宋" w:hAnsi="仿宋" w:eastAsia="仿宋"/>
                <w:sz w:val="28"/>
                <w:szCs w:val="28"/>
              </w:rPr>
              <w:t>按考生人数预备</w:t>
            </w:r>
          </w:p>
        </w:tc>
        <w:tc>
          <w:tcPr>
            <w:tcW w:w="1560" w:type="dxa"/>
          </w:tcPr>
          <w:p>
            <w:pPr>
              <w:spacing w:line="276" w:lineRule="auto"/>
              <w:rPr>
                <w:rFonts w:ascii="仿宋" w:hAnsi="仿宋" w:eastAsia="仿宋"/>
                <w:sz w:val="28"/>
                <w:szCs w:val="28"/>
              </w:rPr>
            </w:pPr>
          </w:p>
        </w:tc>
      </w:tr>
    </w:tbl>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要求：划线平台、台钻、砂轮机、钳台附件配套齐全，布局合理。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hint="eastAsia" w:ascii="仿宋" w:hAnsi="仿宋" w:eastAsia="仿宋"/>
          <w:sz w:val="28"/>
          <w:szCs w:val="28"/>
        </w:rPr>
        <w:t>比赛所需工、量、刃具由选手个人准备，清单在比赛一周前公布，清单以外的工具、夹具、量具和刃具不得带入赛场；不允许选手自带钻模、锉模板等二类工具。</w:t>
      </w:r>
      <w:bookmarkStart w:id="19" w:name="_Toc165193487"/>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八、比赛规则</w:t>
      </w:r>
      <w:bookmarkEnd w:id="19"/>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20" w:name="_Toc165193488"/>
      <w:r>
        <w:rPr>
          <w:rFonts w:hint="eastAsia" w:ascii="仿宋" w:hAnsi="仿宋" w:eastAsia="仿宋"/>
          <w:b/>
          <w:bCs w:val="0"/>
          <w:sz w:val="28"/>
          <w:szCs w:val="28"/>
        </w:rPr>
        <w:t>（一）通用要求</w:t>
      </w:r>
      <w:bookmarkEnd w:id="20"/>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各赛务人员必须统一佩戴由大赛</w:t>
      </w:r>
      <w:r>
        <w:rPr>
          <w:rFonts w:hint="eastAsia" w:ascii="仿宋" w:hAnsi="仿宋" w:eastAsia="仿宋"/>
          <w:sz w:val="28"/>
          <w:szCs w:val="28"/>
        </w:rPr>
        <w:t>组</w:t>
      </w:r>
      <w:r>
        <w:rPr>
          <w:rFonts w:ascii="仿宋" w:hAnsi="仿宋" w:eastAsia="仿宋"/>
          <w:sz w:val="28"/>
          <w:szCs w:val="28"/>
        </w:rPr>
        <w:t>委会签发的相关证件，着装整齐。</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各赛场除现场裁判、安全员和赛场配备的工作人员以外，其他人员不得进入赛场。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eastAsia="zh-CN"/>
        </w:rPr>
        <w:t>.</w:t>
      </w:r>
      <w:r>
        <w:rPr>
          <w:rFonts w:ascii="仿宋" w:hAnsi="仿宋" w:eastAsia="仿宋"/>
          <w:sz w:val="28"/>
          <w:szCs w:val="28"/>
        </w:rPr>
        <w:t>新闻媒体等进入赛场必须经过大赛</w:t>
      </w:r>
      <w:r>
        <w:rPr>
          <w:rFonts w:hint="eastAsia" w:ascii="仿宋" w:hAnsi="仿宋" w:eastAsia="仿宋"/>
          <w:sz w:val="28"/>
          <w:szCs w:val="28"/>
        </w:rPr>
        <w:t>组</w:t>
      </w:r>
      <w:r>
        <w:rPr>
          <w:rFonts w:ascii="仿宋" w:hAnsi="仿宋" w:eastAsia="仿宋"/>
          <w:sz w:val="28"/>
          <w:szCs w:val="28"/>
        </w:rPr>
        <w:t>委会允许，由专人陪同并且听从现场工作人员的安排和管理，不能影响比赛进行。</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eastAsia="zh-CN"/>
        </w:rPr>
        <w:t>.</w:t>
      </w:r>
      <w:r>
        <w:rPr>
          <w:rFonts w:ascii="仿宋" w:hAnsi="仿宋" w:eastAsia="仿宋"/>
          <w:sz w:val="28"/>
          <w:szCs w:val="28"/>
        </w:rPr>
        <w:t>各参赛队的领队、教练员和随从人员一律不得进入赛场。</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21" w:name="_Toc165193489"/>
      <w:r>
        <w:rPr>
          <w:rFonts w:hint="eastAsia" w:ascii="仿宋" w:hAnsi="仿宋" w:eastAsia="仿宋"/>
          <w:b/>
          <w:bCs w:val="0"/>
          <w:sz w:val="28"/>
          <w:szCs w:val="28"/>
        </w:rPr>
        <w:t>（二）裁判员工作要求</w:t>
      </w:r>
      <w:bookmarkEnd w:id="21"/>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裁判员需在赛前参加裁判工作培训，掌握与执裁工作相关的大赛制度要求和赛项竞赛规则，具体包括：竞赛技术规则、竞赛技术平台、评分方式、评分标准、成绩管理流程、安全注意事项和安全应急预案等。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 w:hAnsi="仿宋" w:eastAsia="仿宋"/>
          <w:sz w:val="28"/>
          <w:szCs w:val="28"/>
        </w:rPr>
        <w:t>在裁判长的安排下，对裁判员进行分组，并明确组内人员分工及工作职责、工作流程和工作要求等。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裁判执裁前对赛场设备设施的规范性、完整性和安全性进行检查，做好执裁的准备工作。</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hint="eastAsia" w:ascii="仿宋" w:hAnsi="仿宋" w:eastAsia="仿宋"/>
          <w:sz w:val="28"/>
          <w:szCs w:val="28"/>
        </w:rPr>
        <w:t>选手进入赛位或等候区域，要对照工量刀具清单检查选手所带刀具、量具、工具等，确保与赛场要求一致。</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hint="eastAsia" w:ascii="仿宋" w:hAnsi="仿宋" w:eastAsia="仿宋"/>
          <w:sz w:val="28"/>
          <w:szCs w:val="28"/>
        </w:rPr>
        <w:t>强调选手遵照安全操作规范，安全参赛，文明参赛。</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hint="eastAsia" w:ascii="仿宋" w:hAnsi="仿宋" w:eastAsia="仿宋"/>
          <w:sz w:val="28"/>
          <w:szCs w:val="28"/>
        </w:rPr>
        <w:t>比赛过程中，无特殊情况，裁判不得接近选手，不得向选手解释题意，选手若有凝问可举手示意。</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hint="eastAsia" w:ascii="仿宋" w:hAnsi="仿宋" w:eastAsia="仿宋"/>
          <w:sz w:val="28"/>
          <w:szCs w:val="28"/>
        </w:rPr>
        <w:t>比赛现场裁判需做好赛场纪律的维护，对有违规行为的选手提出警告，对严重违规选手，应按竞赛规程予以停赛或取消竞赛资格等处理，并记录在《赛场情况记录表》；在具有危险性的作业环节，裁判员要严防选手出现错误操作。</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hint="eastAsia" w:ascii="仿宋" w:hAnsi="仿宋" w:eastAsia="仿宋"/>
          <w:sz w:val="28"/>
          <w:szCs w:val="28"/>
        </w:rPr>
        <w:t>比赛结束后裁判员要收缴加工零件，监督选手提交考题、图纸、草稿纸等加工文件，监督选手清检现场。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val="en-US" w:eastAsia="zh-CN"/>
        </w:rPr>
        <w:t>.</w:t>
      </w:r>
      <w:r>
        <w:rPr>
          <w:rFonts w:hint="eastAsia" w:ascii="仿宋" w:hAnsi="仿宋" w:eastAsia="仿宋"/>
          <w:sz w:val="28"/>
          <w:szCs w:val="28"/>
        </w:rPr>
        <w:t>比赛换场期间，现场裁判须做好选手的隔离工作。</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10</w:t>
      </w:r>
      <w:r>
        <w:rPr>
          <w:rFonts w:hint="eastAsia" w:ascii="仿宋" w:hAnsi="仿宋" w:eastAsia="仿宋"/>
          <w:sz w:val="28"/>
          <w:szCs w:val="28"/>
          <w:lang w:val="en-US" w:eastAsia="zh-CN"/>
        </w:rPr>
        <w:t>.</w:t>
      </w:r>
      <w:r>
        <w:rPr>
          <w:rFonts w:hint="eastAsia" w:ascii="仿宋" w:hAnsi="仿宋" w:eastAsia="仿宋"/>
          <w:sz w:val="28"/>
          <w:szCs w:val="28"/>
        </w:rPr>
        <w:t>零件加密由加密裁判员负责；评分结果出来后，加密裁判在监督人员监督下对加密结果进行解密，并形成最终成绩单。</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281" w:firstLineChars="100"/>
        <w:jc w:val="left"/>
        <w:textAlignment w:val="auto"/>
        <w:rPr>
          <w:rFonts w:ascii="仿宋" w:hAnsi="仿宋" w:eastAsia="仿宋"/>
          <w:b/>
          <w:bCs w:val="0"/>
          <w:sz w:val="28"/>
          <w:szCs w:val="28"/>
        </w:rPr>
      </w:pPr>
      <w:bookmarkStart w:id="22" w:name="_Toc165193490"/>
      <w:r>
        <w:rPr>
          <w:rFonts w:hint="eastAsia" w:ascii="仿宋" w:hAnsi="仿宋" w:eastAsia="仿宋"/>
          <w:b/>
          <w:bCs w:val="0"/>
          <w:sz w:val="28"/>
          <w:szCs w:val="28"/>
        </w:rPr>
        <w:t>（三）选手赛场要求</w:t>
      </w:r>
      <w:bookmarkEnd w:id="22"/>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参赛选手按规定时间</w:t>
      </w:r>
      <w:r>
        <w:rPr>
          <w:rFonts w:hint="eastAsia" w:ascii="仿宋" w:hAnsi="仿宋" w:eastAsia="仿宋"/>
          <w:sz w:val="28"/>
          <w:szCs w:val="28"/>
        </w:rPr>
        <w:t>提前15分钟</w:t>
      </w:r>
      <w:r>
        <w:rPr>
          <w:rFonts w:ascii="仿宋" w:hAnsi="仿宋" w:eastAsia="仿宋"/>
          <w:sz w:val="28"/>
          <w:szCs w:val="28"/>
        </w:rPr>
        <w:t>到达指定地点，凭</w:t>
      </w:r>
      <w:r>
        <w:rPr>
          <w:rFonts w:hint="eastAsia" w:ascii="仿宋" w:hAnsi="仿宋" w:eastAsia="仿宋"/>
          <w:sz w:val="28"/>
          <w:szCs w:val="28"/>
        </w:rPr>
        <w:t>参赛证</w:t>
      </w:r>
      <w:r>
        <w:rPr>
          <w:rFonts w:ascii="仿宋" w:hAnsi="仿宋" w:eastAsia="仿宋"/>
          <w:sz w:val="28"/>
          <w:szCs w:val="28"/>
        </w:rPr>
        <w:t>进入赛场</w:t>
      </w:r>
      <w:r>
        <w:rPr>
          <w:rFonts w:hint="eastAsia" w:ascii="仿宋" w:hAnsi="仿宋" w:eastAsia="仿宋"/>
          <w:sz w:val="28"/>
          <w:szCs w:val="28"/>
        </w:rPr>
        <w:t>，</w:t>
      </w:r>
      <w:r>
        <w:rPr>
          <w:rFonts w:ascii="仿宋" w:hAnsi="仿宋" w:eastAsia="仿宋"/>
          <w:sz w:val="28"/>
          <w:szCs w:val="28"/>
        </w:rPr>
        <w:t>选手迟到 15 分钟取消比赛资格。</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裁判组在赛前 30 分钟，对参赛选手的证件进行检查及进行比赛相关事项教育。</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参赛选手必须按照设备安全操作规程进行操作。参赛选手不得携带通讯工具和其它未经允许的资料、物品进入比赛场地，不得中途退场。如出现较严重的违规、违纪、舞弊等现象，经裁判组裁定取消比赛成绩。</w:t>
      </w:r>
    </w:p>
    <w:p>
      <w:pPr>
        <w:pStyle w:val="2"/>
        <w:keepNext w:val="0"/>
        <w:keepLines w:val="0"/>
        <w:pageBreakBefore w:val="0"/>
        <w:widowControl w:val="0"/>
        <w:kinsoku/>
        <w:wordWrap/>
        <w:overflowPunct/>
        <w:topLinePunct w:val="0"/>
        <w:autoSpaceDE/>
        <w:autoSpaceDN/>
        <w:bidi w:val="0"/>
        <w:adjustRightInd/>
        <w:snapToGrid/>
        <w:spacing w:after="0" w:line="480" w:lineRule="exact"/>
        <w:ind w:firstLine="64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实际操作竞赛工位在竞赛前通过抽签确定，不准私自变更</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比赛过程中出现设备故障等问题，应提请裁判确认原因。如影响比赛进程，裁判请示裁判长裁定后，可将该选手比赛时间酌情后延。</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比赛过程中，选手因工艺制定不当或违规操作，造成设备、夹具、刀具损坏者，经裁判员裁定，视情节轻重，做扣分至终止比赛的处理。裁定终止比赛的，须报裁判长批准后执行。</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ascii="仿宋" w:hAnsi="仿宋" w:eastAsia="仿宋"/>
          <w:sz w:val="28"/>
          <w:szCs w:val="28"/>
        </w:rPr>
        <w:t>比赛结束后，参赛选手提请裁判到比赛工位检查确认并登记相关内容，选手签字确认后听从裁判指令离开赛场。裁判填写现场记录单。</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ascii="仿宋" w:hAnsi="仿宋" w:eastAsia="仿宋"/>
          <w:sz w:val="28"/>
          <w:szCs w:val="28"/>
        </w:rPr>
        <w:t>如果选手要求提前结束比赛，应报裁判批准。比赛终止时间由裁判记录在案，批准并通知提前结束比赛后，选手不得再进行任何加工。提前结束比赛的选手不准提前离开赛场。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val="en-US" w:eastAsia="zh-CN"/>
        </w:rPr>
        <w:t>.</w:t>
      </w:r>
      <w:r>
        <w:rPr>
          <w:rFonts w:ascii="仿宋" w:hAnsi="仿宋" w:eastAsia="仿宋"/>
          <w:sz w:val="28"/>
          <w:szCs w:val="28"/>
        </w:rPr>
        <w:t>当听到比赛结束指令时，参赛选手应立即停止操作，不得以任何理由拖延比赛时间。离开比赛场地时，不得将草稿纸等与比赛有关的物品带离比赛现场。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10</w:t>
      </w:r>
      <w:r>
        <w:rPr>
          <w:rFonts w:hint="eastAsia" w:ascii="仿宋" w:hAnsi="仿宋" w:eastAsia="仿宋"/>
          <w:sz w:val="28"/>
          <w:szCs w:val="28"/>
          <w:lang w:val="en-US" w:eastAsia="zh-CN"/>
        </w:rPr>
        <w:t>.</w:t>
      </w:r>
      <w:r>
        <w:rPr>
          <w:rFonts w:ascii="仿宋" w:hAnsi="仿宋" w:eastAsia="仿宋"/>
          <w:sz w:val="28"/>
          <w:szCs w:val="28"/>
        </w:rPr>
        <w:t>选手提交的赛件应经过清理，提交后工作人员在零件的指定位置做好标记，选手确认无误后方可离开。</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11</w:t>
      </w:r>
      <w:r>
        <w:rPr>
          <w:rFonts w:hint="eastAsia" w:ascii="仿宋" w:hAnsi="仿宋" w:eastAsia="仿宋"/>
          <w:sz w:val="28"/>
          <w:szCs w:val="28"/>
          <w:lang w:val="en-US" w:eastAsia="zh-CN"/>
        </w:rPr>
        <w:t>.</w:t>
      </w:r>
      <w:r>
        <w:rPr>
          <w:rFonts w:hint="eastAsia" w:ascii="仿宋" w:hAnsi="仿宋" w:eastAsia="仿宋"/>
          <w:sz w:val="28"/>
          <w:szCs w:val="28"/>
        </w:rPr>
        <w:t>参赛过程中(吃饭时间除外)，选手若需休息、饮水、上洗手间一律计算在操作时间内。</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281" w:firstLineChars="100"/>
        <w:jc w:val="left"/>
        <w:textAlignment w:val="auto"/>
        <w:rPr>
          <w:rFonts w:ascii="仿宋" w:hAnsi="仿宋" w:eastAsia="仿宋"/>
          <w:b/>
          <w:bCs w:val="0"/>
          <w:sz w:val="28"/>
          <w:szCs w:val="28"/>
        </w:rPr>
      </w:pPr>
      <w:bookmarkStart w:id="23" w:name="_Toc165193491"/>
      <w:r>
        <w:rPr>
          <w:rFonts w:hint="eastAsia" w:ascii="仿宋" w:hAnsi="仿宋" w:eastAsia="仿宋"/>
          <w:b/>
          <w:bCs w:val="0"/>
          <w:sz w:val="28"/>
          <w:szCs w:val="28"/>
        </w:rPr>
        <w:t>（四）工作人员赛场要求</w:t>
      </w:r>
      <w:bookmarkEnd w:id="23"/>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所有工作人员（含技术支持）必须服从竞赛规则和裁判长要求，认真履行相关工作职责和流程。工作人员（含技术支持）没有裁判长批准的情况下，在工作期间不得使用手机、照相机、录像机等通信和数据存储设备进入赛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在选手进行比赛或裁判员进行检测评分时，不得拍照比赛照片、图纸和工件。</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技术支持人员只能在</w:t>
      </w:r>
      <w:r>
        <w:rPr>
          <w:rFonts w:hint="eastAsia" w:ascii="仿宋" w:hAnsi="仿宋" w:eastAsia="仿宋"/>
          <w:sz w:val="28"/>
          <w:szCs w:val="28"/>
        </w:rPr>
        <w:t>规</w:t>
      </w:r>
      <w:r>
        <w:rPr>
          <w:rFonts w:ascii="仿宋" w:hAnsi="仿宋" w:eastAsia="仿宋"/>
          <w:sz w:val="28"/>
          <w:szCs w:val="28"/>
        </w:rPr>
        <w:t>定工作范围内活动，没有裁判陪同，不得私自进入选手比赛区域。不得在比赛选手附近评论或讨论任何问题。</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不能向场外人员泄露任何关于比赛的信息</w:t>
      </w:r>
      <w:r>
        <w:rPr>
          <w:rFonts w:hint="eastAsia" w:ascii="仿宋" w:hAnsi="仿宋" w:eastAsia="仿宋"/>
          <w:sz w:val="28"/>
          <w:szCs w:val="28"/>
        </w:rPr>
        <w:t>，</w:t>
      </w:r>
      <w:r>
        <w:rPr>
          <w:rFonts w:ascii="仿宋" w:hAnsi="仿宋" w:eastAsia="仿宋"/>
          <w:sz w:val="28"/>
          <w:szCs w:val="28"/>
        </w:rPr>
        <w:t>不得干扰选手比赛、裁判执裁和检测工作。</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裁判长有权对比赛造成不良影响等情况的</w:t>
      </w:r>
      <w:r>
        <w:rPr>
          <w:rFonts w:hint="eastAsia" w:ascii="仿宋" w:hAnsi="仿宋" w:eastAsia="仿宋"/>
          <w:sz w:val="28"/>
          <w:szCs w:val="28"/>
        </w:rPr>
        <w:t>工作</w:t>
      </w:r>
      <w:r>
        <w:rPr>
          <w:rFonts w:ascii="仿宋" w:hAnsi="仿宋" w:eastAsia="仿宋"/>
          <w:sz w:val="28"/>
          <w:szCs w:val="28"/>
        </w:rPr>
        <w:t>人员做出警告或终止其工作的处理。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未经裁判组允许的记者、摄影等人员不允许在比赛期间采访选手、拍照等。</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281" w:firstLineChars="100"/>
        <w:jc w:val="left"/>
        <w:textAlignment w:val="auto"/>
        <w:rPr>
          <w:rFonts w:ascii="仿宋" w:hAnsi="仿宋" w:eastAsia="仿宋"/>
          <w:b/>
          <w:bCs w:val="0"/>
          <w:sz w:val="28"/>
          <w:szCs w:val="28"/>
        </w:rPr>
      </w:pPr>
      <w:bookmarkStart w:id="24" w:name="_Toc165193492"/>
      <w:r>
        <w:rPr>
          <w:rFonts w:hint="eastAsia" w:ascii="仿宋" w:hAnsi="仿宋" w:eastAsia="仿宋"/>
          <w:b/>
          <w:bCs w:val="0"/>
          <w:sz w:val="28"/>
          <w:szCs w:val="28"/>
        </w:rPr>
        <w:t>（五）纪律处罚规定</w:t>
      </w:r>
      <w:bookmarkEnd w:id="24"/>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为严肃竞赛纪律，保证技能竞赛公平、公正、公开的原则、对违反技能比赛纪律的处罚做如下规定：</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参赛选手不符合报名规定条件，或冒名顶替、或弄虚作假，经大赛组委会核准后，一律取消该选手参赛资格。</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参赛选手有下列情节之一的，取消参赛资格，比赛成绩计零分。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不按规定填写姓名、编号或在试卷、赛件上作各种标记。</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在赛场内有偷看、暗示、交头接耳等作弊行为。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在赛场使用通讯工具与他人联系。</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在规定的比赛时间结束后，仍强行操作。</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ascii="仿宋" w:hAnsi="仿宋" w:eastAsia="仿宋"/>
          <w:sz w:val="28"/>
          <w:szCs w:val="28"/>
        </w:rPr>
        <w:t>不服从裁判员的裁决，扰乱比赛秩序，影响比赛过程，情节恶劣。</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ascii="仿宋" w:hAnsi="仿宋" w:eastAsia="仿宋"/>
          <w:sz w:val="28"/>
          <w:szCs w:val="28"/>
        </w:rPr>
        <w:t>其他违反比赛规则的不听劝告者。</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参赛选手如造成比赛用设备损坏，视情节由当事人及选送</w:t>
      </w:r>
      <w:r>
        <w:rPr>
          <w:rFonts w:hint="eastAsia" w:ascii="仿宋" w:hAnsi="仿宋" w:eastAsia="仿宋"/>
          <w:sz w:val="28"/>
          <w:szCs w:val="28"/>
        </w:rPr>
        <w:t>企业</w:t>
      </w:r>
      <w:r>
        <w:rPr>
          <w:rFonts w:ascii="仿宋" w:hAnsi="仿宋" w:eastAsia="仿宋"/>
          <w:sz w:val="28"/>
          <w:szCs w:val="28"/>
        </w:rPr>
        <w:t>承担赔偿责任，参赛选手人为蓄意破坏仪器设备，由当事人承担赔偿责任并通报批评。</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选手未能按规定正确使用仪器设备，由在场裁判员及时予以纠正</w:t>
      </w:r>
      <w:r>
        <w:rPr>
          <w:rFonts w:hint="eastAsia" w:ascii="仿宋" w:hAnsi="仿宋" w:eastAsia="仿宋"/>
          <w:sz w:val="28"/>
          <w:szCs w:val="28"/>
        </w:rPr>
        <w:t>，</w:t>
      </w:r>
      <w:r>
        <w:rPr>
          <w:rFonts w:ascii="仿宋" w:hAnsi="仿宋" w:eastAsia="仿宋"/>
          <w:sz w:val="28"/>
          <w:szCs w:val="28"/>
        </w:rPr>
        <w:t>并按规定扣除比赛成绩。</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任何人不得以任何方式暗示、指导、帮助、影响参赛选手。对造成后果的，视情节轻重酌情扣除参赛选手成绩。</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非大赛工作人员、非参赛选手一律不得进入比赛场地，对不听劝阻、无理取闹者追究责任，并通报批评。</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ascii="仿宋" w:hAnsi="仿宋" w:eastAsia="仿宋"/>
          <w:sz w:val="28"/>
          <w:szCs w:val="28"/>
        </w:rPr>
        <w:t>对裁判员、其他工作人员违反工作守则，经大赛组委会核实后视情节轻重予以警告处分或取消其任职</w:t>
      </w:r>
      <w:r>
        <w:rPr>
          <w:rFonts w:hint="eastAsia" w:ascii="仿宋" w:hAnsi="仿宋" w:eastAsia="仿宋"/>
          <w:sz w:val="28"/>
          <w:szCs w:val="28"/>
        </w:rPr>
        <w:t>资格</w:t>
      </w:r>
      <w:r>
        <w:rPr>
          <w:rFonts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ascii="仿宋" w:hAnsi="仿宋" w:eastAsia="仿宋"/>
          <w:sz w:val="28"/>
          <w:szCs w:val="28"/>
        </w:rPr>
        <w:t>对违反比赛各种纪律的参赛选手及所在代表队和单位，视情节轻重、后果影响、予以取消比赛评奖资格或通报批评。</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firstLine="560" w:firstLineChars="200"/>
        <w:jc w:val="left"/>
        <w:textAlignment w:val="auto"/>
        <w:rPr>
          <w:rFonts w:hint="eastAsia" w:ascii="黑体" w:hAnsi="黑体" w:eastAsia="黑体" w:cs="黑体"/>
          <w:b w:val="0"/>
          <w:bCs w:val="0"/>
          <w:sz w:val="28"/>
          <w:szCs w:val="28"/>
        </w:rPr>
      </w:pPr>
      <w:bookmarkStart w:id="25" w:name="_Toc165193493"/>
      <w:r>
        <w:rPr>
          <w:rFonts w:hint="eastAsia" w:ascii="黑体" w:hAnsi="黑体" w:eastAsia="黑体" w:cs="黑体"/>
          <w:b w:val="0"/>
          <w:bCs w:val="0"/>
          <w:sz w:val="28"/>
          <w:szCs w:val="28"/>
        </w:rPr>
        <w:t>九、赛场安全</w:t>
      </w:r>
      <w:bookmarkEnd w:id="25"/>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26" w:name="_Toc165193494"/>
      <w:bookmarkStart w:id="27" w:name="_Toc135753277"/>
      <w:r>
        <w:rPr>
          <w:rFonts w:hint="eastAsia" w:ascii="仿宋" w:hAnsi="仿宋" w:eastAsia="仿宋"/>
          <w:b/>
          <w:bCs w:val="0"/>
          <w:sz w:val="28"/>
          <w:szCs w:val="28"/>
        </w:rPr>
        <w:t>（一）选手安全防护措施要求</w:t>
      </w:r>
      <w:bookmarkEnd w:id="26"/>
      <w:bookmarkEnd w:id="27"/>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bookmarkStart w:id="28" w:name="_Toc49976105"/>
      <w:bookmarkStart w:id="29" w:name="_Toc135753278"/>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劳保用品</w:t>
      </w:r>
      <w:bookmarkEnd w:id="28"/>
      <w:bookmarkEnd w:id="29"/>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劳保用品由参赛队自带</w:t>
      </w:r>
      <w:r>
        <w:rPr>
          <w:rFonts w:ascii="仿宋" w:hAnsi="仿宋" w:eastAsia="仿宋"/>
          <w:sz w:val="28"/>
          <w:szCs w:val="28"/>
        </w:rPr>
        <w:t>，</w:t>
      </w:r>
      <w:r>
        <w:rPr>
          <w:rFonts w:hint="eastAsia" w:ascii="仿宋" w:hAnsi="仿宋" w:eastAsia="仿宋"/>
          <w:sz w:val="28"/>
          <w:szCs w:val="28"/>
        </w:rPr>
        <w:t>进入比赛场地应正确穿戴好劳动防护用品（劳保鞋、护目镜、工作服</w:t>
      </w:r>
      <w:r>
        <w:rPr>
          <w:rFonts w:ascii="仿宋" w:hAnsi="仿宋" w:eastAsia="仿宋"/>
          <w:sz w:val="28"/>
          <w:szCs w:val="28"/>
        </w:rPr>
        <w:t>“</w:t>
      </w:r>
      <w:r>
        <w:rPr>
          <w:rFonts w:hint="eastAsia" w:ascii="仿宋" w:hAnsi="仿宋" w:eastAsia="仿宋"/>
          <w:sz w:val="28"/>
          <w:szCs w:val="28"/>
        </w:rPr>
        <w:t>三紧</w:t>
      </w:r>
      <w:r>
        <w:rPr>
          <w:rFonts w:ascii="仿宋" w:hAnsi="仿宋" w:eastAsia="仿宋"/>
          <w:sz w:val="28"/>
          <w:szCs w:val="28"/>
        </w:rPr>
        <w:t>”</w:t>
      </w:r>
      <w:r>
        <w:rPr>
          <w:rFonts w:hint="eastAsia" w:ascii="仿宋" w:hAnsi="仿宋" w:eastAsia="仿宋"/>
          <w:sz w:val="28"/>
          <w:szCs w:val="28"/>
        </w:rPr>
        <w:t>、口罩等）。对未按要求佩戴相应防护用品的现象将进行制止，选手未更正前不得进入比赛现场，比赛过程中对违反安全与防护、违反操作规程者将阻止其比赛，但对违反者不扣分。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bookmarkStart w:id="30" w:name="_Toc49976107"/>
      <w:bookmarkStart w:id="31" w:name="_Toc135753280"/>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 w:hAnsi="仿宋" w:eastAsia="仿宋"/>
          <w:sz w:val="28"/>
          <w:szCs w:val="28"/>
        </w:rPr>
        <w:t>有毒有害物品的管理和限制</w:t>
      </w:r>
      <w:bookmarkEnd w:id="30"/>
      <w:bookmarkEnd w:id="31"/>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cs="仿宋"/>
          <w:bCs/>
          <w:kern w:val="0"/>
          <w:sz w:val="28"/>
          <w:szCs w:val="28"/>
        </w:rPr>
        <w:t>选手禁止携带易燃易爆物品见下图所示</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1"/>
        <w:gridCol w:w="1472"/>
        <w:gridCol w:w="1473"/>
        <w:gridCol w:w="2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1" w:type="dxa"/>
            <w:shd w:val="clear" w:color="auto" w:fill="C7DAF1" w:themeFill="text2" w:themeFillTint="32"/>
            <w:vAlign w:val="center"/>
          </w:tcPr>
          <w:p>
            <w:pPr>
              <w:spacing w:line="520" w:lineRule="exact"/>
              <w:jc w:val="center"/>
              <w:rPr>
                <w:rFonts w:ascii="仿宋" w:hAnsi="仿宋" w:eastAsia="仿宋" w:cs="宋体-18030"/>
                <w:b/>
                <w:sz w:val="24"/>
              </w:rPr>
            </w:pPr>
            <w:r>
              <w:rPr>
                <w:rFonts w:hint="eastAsia" w:ascii="仿宋" w:hAnsi="仿宋" w:eastAsia="仿宋" w:cs="宋体-18030"/>
                <w:b/>
                <w:sz w:val="24"/>
              </w:rPr>
              <w:t>有害物品</w:t>
            </w:r>
          </w:p>
        </w:tc>
        <w:tc>
          <w:tcPr>
            <w:tcW w:w="2945" w:type="dxa"/>
            <w:gridSpan w:val="2"/>
            <w:shd w:val="clear" w:color="auto" w:fill="C7DAF1" w:themeFill="text2" w:themeFillTint="32"/>
            <w:vAlign w:val="center"/>
          </w:tcPr>
          <w:p>
            <w:pPr>
              <w:spacing w:line="520" w:lineRule="exact"/>
              <w:jc w:val="center"/>
              <w:rPr>
                <w:rFonts w:ascii="仿宋" w:hAnsi="仿宋" w:eastAsia="仿宋" w:cs="宋体-18030"/>
                <w:b/>
                <w:sz w:val="24"/>
              </w:rPr>
            </w:pPr>
            <w:r>
              <w:rPr>
                <w:rFonts w:hint="eastAsia" w:ascii="仿宋" w:hAnsi="仿宋" w:eastAsia="仿宋" w:cs="宋体-18030"/>
                <w:b/>
                <w:sz w:val="24"/>
              </w:rPr>
              <w:t>图示</w:t>
            </w:r>
          </w:p>
        </w:tc>
        <w:tc>
          <w:tcPr>
            <w:tcW w:w="2467" w:type="dxa"/>
            <w:shd w:val="clear" w:color="auto" w:fill="C7DAF1" w:themeFill="text2" w:themeFillTint="32"/>
            <w:vAlign w:val="center"/>
          </w:tcPr>
          <w:p>
            <w:pPr>
              <w:spacing w:line="520" w:lineRule="exact"/>
              <w:jc w:val="center"/>
              <w:rPr>
                <w:rFonts w:ascii="仿宋" w:hAnsi="仿宋" w:eastAsia="仿宋" w:cs="宋体-18030"/>
                <w:b/>
                <w:sz w:val="24"/>
              </w:rPr>
            </w:pPr>
            <w:r>
              <w:rPr>
                <w:rFonts w:hint="eastAsia" w:ascii="仿宋" w:hAnsi="仿宋" w:eastAsia="仿宋" w:cs="宋体-18030"/>
                <w:b/>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3011"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t>防锈清洗剂</w:t>
            </w:r>
          </w:p>
        </w:tc>
        <w:tc>
          <w:tcPr>
            <w:tcW w:w="2945" w:type="dxa"/>
            <w:gridSpan w:val="2"/>
            <w:vAlign w:val="center"/>
          </w:tcPr>
          <w:p>
            <w:pPr>
              <w:spacing w:line="520" w:lineRule="exact"/>
              <w:jc w:val="center"/>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0288" behindDoc="0" locked="0" layoutInCell="1" allowOverlap="1">
                  <wp:simplePos x="0" y="0"/>
                  <wp:positionH relativeFrom="column">
                    <wp:posOffset>413385</wp:posOffset>
                  </wp:positionH>
                  <wp:positionV relativeFrom="paragraph">
                    <wp:posOffset>85090</wp:posOffset>
                  </wp:positionV>
                  <wp:extent cx="596265" cy="596265"/>
                  <wp:effectExtent l="0" t="0" r="13335" b="13335"/>
                  <wp:wrapSquare wrapText="bothSides"/>
                  <wp:docPr id="24" name="图片 2" descr="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descr="WD"/>
                          <pic:cNvPicPr>
                            <a:picLocks noChangeAspect="1"/>
                          </pic:cNvPicPr>
                        </pic:nvPicPr>
                        <pic:blipFill>
                          <a:blip r:embed="rId6" cstate="print"/>
                          <a:stretch>
                            <a:fillRect/>
                          </a:stretch>
                        </pic:blipFill>
                        <pic:spPr>
                          <a:xfrm>
                            <a:off x="0" y="0"/>
                            <a:ext cx="596265" cy="596265"/>
                          </a:xfrm>
                          <a:prstGeom prst="rect">
                            <a:avLst/>
                          </a:prstGeom>
                          <a:noFill/>
                          <a:ln>
                            <a:noFill/>
                          </a:ln>
                        </pic:spPr>
                      </pic:pic>
                    </a:graphicData>
                  </a:graphic>
                </wp:anchor>
              </w:drawing>
            </w:r>
          </w:p>
        </w:tc>
        <w:tc>
          <w:tcPr>
            <w:tcW w:w="2467"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drawing>
                <wp:anchor distT="0" distB="0" distL="114300" distR="114300" simplePos="0" relativeHeight="251666432" behindDoc="0" locked="0" layoutInCell="1" allowOverlap="1">
                  <wp:simplePos x="0" y="0"/>
                  <wp:positionH relativeFrom="column">
                    <wp:posOffset>869315</wp:posOffset>
                  </wp:positionH>
                  <wp:positionV relativeFrom="paragraph">
                    <wp:posOffset>60325</wp:posOffset>
                  </wp:positionV>
                  <wp:extent cx="371475" cy="350520"/>
                  <wp:effectExtent l="0" t="0" r="9525" b="11430"/>
                  <wp:wrapSquare wrapText="bothSides"/>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7" cstate="prin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宋体-18030"/>
                <w:sz w:val="24"/>
              </w:rPr>
              <w:t xml:space="preserve">禁止携带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3011"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t>酒精、汽油</w:t>
            </w:r>
          </w:p>
        </w:tc>
        <w:tc>
          <w:tcPr>
            <w:tcW w:w="1472" w:type="dxa"/>
            <w:vAlign w:val="center"/>
          </w:tcPr>
          <w:p>
            <w:pPr>
              <w:spacing w:line="520" w:lineRule="exact"/>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3360" behindDoc="0" locked="0" layoutInCell="1" allowOverlap="1">
                  <wp:simplePos x="0" y="0"/>
                  <wp:positionH relativeFrom="column">
                    <wp:posOffset>243840</wp:posOffset>
                  </wp:positionH>
                  <wp:positionV relativeFrom="paragraph">
                    <wp:posOffset>69850</wp:posOffset>
                  </wp:positionV>
                  <wp:extent cx="459740" cy="459740"/>
                  <wp:effectExtent l="0" t="0" r="16510" b="16510"/>
                  <wp:wrapNone/>
                  <wp:docPr id="29" name="图片 4" descr="酒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descr="酒精"/>
                          <pic:cNvPicPr>
                            <a:picLocks noChangeAspect="1"/>
                          </pic:cNvPicPr>
                        </pic:nvPicPr>
                        <pic:blipFill>
                          <a:blip r:embed="rId8" cstate="print"/>
                          <a:stretch>
                            <a:fillRect/>
                          </a:stretch>
                        </pic:blipFill>
                        <pic:spPr>
                          <a:xfrm>
                            <a:off x="0" y="0"/>
                            <a:ext cx="459740" cy="459740"/>
                          </a:xfrm>
                          <a:prstGeom prst="rect">
                            <a:avLst/>
                          </a:prstGeom>
                          <a:noFill/>
                          <a:ln>
                            <a:noFill/>
                          </a:ln>
                        </pic:spPr>
                      </pic:pic>
                    </a:graphicData>
                  </a:graphic>
                </wp:anchor>
              </w:drawing>
            </w:r>
          </w:p>
        </w:tc>
        <w:tc>
          <w:tcPr>
            <w:tcW w:w="1473" w:type="dxa"/>
            <w:vAlign w:val="center"/>
          </w:tcPr>
          <w:p>
            <w:pPr>
              <w:spacing w:line="520" w:lineRule="exact"/>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4384" behindDoc="0" locked="0" layoutInCell="1" allowOverlap="1">
                  <wp:simplePos x="0" y="0"/>
                  <wp:positionH relativeFrom="column">
                    <wp:posOffset>123825</wp:posOffset>
                  </wp:positionH>
                  <wp:positionV relativeFrom="paragraph">
                    <wp:posOffset>83820</wp:posOffset>
                  </wp:positionV>
                  <wp:extent cx="499745" cy="446405"/>
                  <wp:effectExtent l="0" t="0" r="14605" b="10795"/>
                  <wp:wrapNone/>
                  <wp:docPr id="43" name="图片 5" descr="汽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 descr="汽油"/>
                          <pic:cNvPicPr>
                            <a:picLocks noChangeAspect="1"/>
                          </pic:cNvPicPr>
                        </pic:nvPicPr>
                        <pic:blipFill>
                          <a:blip r:embed="rId9" cstate="print"/>
                          <a:stretch>
                            <a:fillRect/>
                          </a:stretch>
                        </pic:blipFill>
                        <pic:spPr>
                          <a:xfrm>
                            <a:off x="0" y="0"/>
                            <a:ext cx="499745" cy="446405"/>
                          </a:xfrm>
                          <a:prstGeom prst="rect">
                            <a:avLst/>
                          </a:prstGeom>
                          <a:noFill/>
                          <a:ln>
                            <a:noFill/>
                          </a:ln>
                        </pic:spPr>
                      </pic:pic>
                    </a:graphicData>
                  </a:graphic>
                </wp:anchor>
              </w:drawing>
            </w:r>
          </w:p>
        </w:tc>
        <w:tc>
          <w:tcPr>
            <w:tcW w:w="2467"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drawing>
                <wp:anchor distT="0" distB="0" distL="114300" distR="114300" simplePos="0" relativeHeight="251665408" behindDoc="0" locked="0" layoutInCell="1" allowOverlap="1">
                  <wp:simplePos x="0" y="0"/>
                  <wp:positionH relativeFrom="column">
                    <wp:posOffset>873125</wp:posOffset>
                  </wp:positionH>
                  <wp:positionV relativeFrom="paragraph">
                    <wp:posOffset>76200</wp:posOffset>
                  </wp:positionV>
                  <wp:extent cx="371475" cy="350520"/>
                  <wp:effectExtent l="0" t="0" r="9525" b="11430"/>
                  <wp:wrapSquare wrapText="bothSides"/>
                  <wp:docPr id="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
                          <pic:cNvPicPr>
                            <a:picLocks noChangeAspect="1"/>
                          </pic:cNvPicPr>
                        </pic:nvPicPr>
                        <pic:blipFill>
                          <a:blip r:embed="rId7" cstate="prin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宋体-18030"/>
                <w:sz w:val="24"/>
              </w:rPr>
              <w:t>严禁携带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011"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t>有毒有害物</w:t>
            </w:r>
          </w:p>
        </w:tc>
        <w:tc>
          <w:tcPr>
            <w:tcW w:w="2945" w:type="dxa"/>
            <w:gridSpan w:val="2"/>
            <w:vAlign w:val="center"/>
          </w:tcPr>
          <w:p>
            <w:pPr>
              <w:spacing w:line="520" w:lineRule="exact"/>
              <w:jc w:val="center"/>
              <w:rPr>
                <w:rFonts w:ascii="仿宋" w:hAnsi="仿宋" w:eastAsia="仿宋" w:cs="宋体-18030"/>
                <w:szCs w:val="21"/>
              </w:rPr>
            </w:pPr>
            <w:r>
              <w:rPr>
                <w:rFonts w:hint="eastAsia" w:ascii="仿宋" w:hAnsi="仿宋" w:eastAsia="仿宋" w:cs="宋体-18030"/>
                <w:szCs w:val="21"/>
              </w:rPr>
              <w:drawing>
                <wp:anchor distT="0" distB="0" distL="114300" distR="114300" simplePos="0" relativeHeight="251661312" behindDoc="0" locked="0" layoutInCell="1" allowOverlap="1">
                  <wp:simplePos x="0" y="0"/>
                  <wp:positionH relativeFrom="column">
                    <wp:posOffset>429260</wp:posOffset>
                  </wp:positionH>
                  <wp:positionV relativeFrom="paragraph">
                    <wp:posOffset>93345</wp:posOffset>
                  </wp:positionV>
                  <wp:extent cx="775970" cy="397510"/>
                  <wp:effectExtent l="0" t="0" r="5080" b="2540"/>
                  <wp:wrapSquare wrapText="bothSides"/>
                  <wp:docPr id="45" name="图片 7" descr="有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descr="有毒"/>
                          <pic:cNvPicPr>
                            <a:picLocks noChangeAspect="1"/>
                          </pic:cNvPicPr>
                        </pic:nvPicPr>
                        <pic:blipFill>
                          <a:blip r:embed="rId10" cstate="print"/>
                          <a:srcRect b="14420"/>
                          <a:stretch>
                            <a:fillRect/>
                          </a:stretch>
                        </pic:blipFill>
                        <pic:spPr>
                          <a:xfrm>
                            <a:off x="0" y="0"/>
                            <a:ext cx="775970" cy="397510"/>
                          </a:xfrm>
                          <a:prstGeom prst="rect">
                            <a:avLst/>
                          </a:prstGeom>
                          <a:noFill/>
                          <a:ln>
                            <a:noFill/>
                          </a:ln>
                        </pic:spPr>
                      </pic:pic>
                    </a:graphicData>
                  </a:graphic>
                </wp:anchor>
              </w:drawing>
            </w:r>
          </w:p>
        </w:tc>
        <w:tc>
          <w:tcPr>
            <w:tcW w:w="2467" w:type="dxa"/>
            <w:vAlign w:val="center"/>
          </w:tcPr>
          <w:p>
            <w:pPr>
              <w:spacing w:line="520" w:lineRule="exact"/>
              <w:jc w:val="center"/>
              <w:rPr>
                <w:rFonts w:ascii="仿宋" w:hAnsi="仿宋" w:eastAsia="仿宋" w:cs="宋体-18030"/>
                <w:sz w:val="24"/>
              </w:rPr>
            </w:pPr>
            <w:r>
              <w:rPr>
                <w:rFonts w:hint="eastAsia" w:ascii="仿宋" w:hAnsi="仿宋" w:eastAsia="仿宋" w:cs="宋体-18030"/>
                <w:sz w:val="24"/>
              </w:rPr>
              <w:drawing>
                <wp:anchor distT="0" distB="0" distL="114300" distR="114300" simplePos="0" relativeHeight="251662336" behindDoc="0" locked="0" layoutInCell="1" allowOverlap="1">
                  <wp:simplePos x="0" y="0"/>
                  <wp:positionH relativeFrom="column">
                    <wp:posOffset>901065</wp:posOffset>
                  </wp:positionH>
                  <wp:positionV relativeFrom="paragraph">
                    <wp:posOffset>45085</wp:posOffset>
                  </wp:positionV>
                  <wp:extent cx="372110" cy="351155"/>
                  <wp:effectExtent l="0" t="0" r="8890" b="10795"/>
                  <wp:wrapSquare wrapText="bothSides"/>
                  <wp:docPr id="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pic:cNvPicPr>
                            <a:picLocks noChangeAspect="1"/>
                          </pic:cNvPicPr>
                        </pic:nvPicPr>
                        <pic:blipFill>
                          <a:blip r:embed="rId7" cstate="print"/>
                          <a:stretch>
                            <a:fillRect/>
                          </a:stretch>
                        </pic:blipFill>
                        <pic:spPr>
                          <a:xfrm>
                            <a:off x="0" y="0"/>
                            <a:ext cx="372110" cy="351155"/>
                          </a:xfrm>
                          <a:prstGeom prst="rect">
                            <a:avLst/>
                          </a:prstGeom>
                          <a:noFill/>
                          <a:ln>
                            <a:noFill/>
                          </a:ln>
                        </pic:spPr>
                      </pic:pic>
                    </a:graphicData>
                  </a:graphic>
                </wp:anchor>
              </w:drawing>
            </w:r>
            <w:r>
              <w:rPr>
                <w:rFonts w:hint="eastAsia" w:ascii="仿宋" w:hAnsi="仿宋" w:eastAsia="仿宋" w:cs="宋体-18030"/>
                <w:sz w:val="24"/>
              </w:rPr>
              <w:t>严禁携带</w:t>
            </w:r>
          </w:p>
        </w:tc>
      </w:tr>
    </w:tbl>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bookmarkStart w:id="32" w:name="_Toc135753281"/>
      <w:bookmarkStart w:id="33" w:name="_Toc49976108"/>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医疗设备和措施</w:t>
      </w:r>
      <w:bookmarkEnd w:id="32"/>
      <w:bookmarkEnd w:id="33"/>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赛场配备医护人员和必须的药品，</w:t>
      </w:r>
      <w:r>
        <w:rPr>
          <w:rFonts w:ascii="仿宋" w:hAnsi="仿宋" w:eastAsia="仿宋"/>
          <w:sz w:val="28"/>
          <w:szCs w:val="28"/>
        </w:rPr>
        <w:t>确保</w:t>
      </w:r>
      <w:r>
        <w:rPr>
          <w:rFonts w:hint="eastAsia" w:ascii="仿宋" w:hAnsi="仿宋" w:eastAsia="仿宋"/>
          <w:sz w:val="28"/>
          <w:szCs w:val="28"/>
        </w:rPr>
        <w:t>比赛顺利</w:t>
      </w:r>
      <w:r>
        <w:rPr>
          <w:rFonts w:ascii="仿宋" w:hAnsi="仿宋" w:eastAsia="仿宋"/>
          <w:sz w:val="28"/>
          <w:szCs w:val="28"/>
        </w:rPr>
        <w:t>进行</w:t>
      </w:r>
      <w:r>
        <w:rPr>
          <w:rFonts w:hint="eastAsia" w:ascii="仿宋" w:hAnsi="仿宋" w:eastAsia="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34" w:name="_Toc165193495"/>
      <w:r>
        <w:rPr>
          <w:rFonts w:ascii="仿宋" w:hAnsi="仿宋" w:eastAsia="仿宋"/>
          <w:b/>
          <w:bCs w:val="0"/>
          <w:sz w:val="28"/>
          <w:szCs w:val="28"/>
        </w:rPr>
        <w:t>（</w:t>
      </w:r>
      <w:r>
        <w:rPr>
          <w:rFonts w:hint="eastAsia" w:ascii="仿宋" w:hAnsi="仿宋" w:eastAsia="仿宋"/>
          <w:b/>
          <w:bCs w:val="0"/>
          <w:sz w:val="28"/>
          <w:szCs w:val="28"/>
        </w:rPr>
        <w:t>二</w:t>
      </w:r>
      <w:r>
        <w:rPr>
          <w:rFonts w:ascii="仿宋" w:hAnsi="仿宋" w:eastAsia="仿宋"/>
          <w:b/>
          <w:bCs w:val="0"/>
          <w:sz w:val="28"/>
          <w:szCs w:val="28"/>
        </w:rPr>
        <w:t>）赛场安全要求</w:t>
      </w:r>
      <w:bookmarkEnd w:id="34"/>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未经允许不得使用与移动竞赛场内的任何设施设备（包括消防器材等)，工具使用后放回原处。</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非工作人员禁止进入赛场。</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选手在竞赛中必须遵守赛场的各项规章制度与操作规程，安全</w:t>
      </w:r>
      <w:r>
        <w:rPr>
          <w:rFonts w:hint="eastAsia" w:ascii="仿宋" w:hAnsi="仿宋" w:eastAsia="仿宋"/>
          <w:sz w:val="28"/>
          <w:szCs w:val="28"/>
        </w:rPr>
        <w:t>、</w:t>
      </w:r>
      <w:r>
        <w:rPr>
          <w:rFonts w:ascii="仿宋" w:hAnsi="仿宋" w:eastAsia="仿宋"/>
          <w:sz w:val="28"/>
          <w:szCs w:val="28"/>
        </w:rPr>
        <w:t>合理的使用各种设施设备与工具，出现严重违章操作加工设备的，裁判视情节轻重进行批评与终止比赛。</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选手参加实际操作竞赛前，应由参赛</w:t>
      </w:r>
      <w:r>
        <w:rPr>
          <w:rFonts w:hint="eastAsia" w:ascii="仿宋" w:hAnsi="仿宋" w:eastAsia="仿宋"/>
          <w:sz w:val="28"/>
          <w:szCs w:val="28"/>
        </w:rPr>
        <w:t>单位</w:t>
      </w:r>
      <w:r>
        <w:rPr>
          <w:rFonts w:ascii="仿宋" w:hAnsi="仿宋" w:eastAsia="仿宋"/>
          <w:sz w:val="28"/>
          <w:szCs w:val="28"/>
        </w:rPr>
        <w:t>进行安全教育。竞赛中如发现问题应及时解决，无法解决的问题应及时向裁判员报告，裁判员视情况予以判定，并协调处理。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5</w:t>
      </w:r>
      <w:r>
        <w:rPr>
          <w:rFonts w:hint="eastAsia" w:ascii="仿宋" w:hAnsi="仿宋" w:eastAsia="仿宋"/>
          <w:sz w:val="28"/>
          <w:szCs w:val="28"/>
          <w:lang w:val="en-US" w:eastAsia="zh-CN"/>
        </w:rPr>
        <w:t>.</w:t>
      </w:r>
      <w:r>
        <w:rPr>
          <w:rFonts w:ascii="仿宋" w:hAnsi="仿宋" w:eastAsia="仿宋"/>
          <w:sz w:val="28"/>
          <w:szCs w:val="28"/>
        </w:rPr>
        <w:t>参赛选手不得触动非竞赛用仪器设备，对竞赛仪器设备造成损坏，由当事人单位承担赔偿责任（视情节而定），并通报批评；参赛选手若出现恶意破坏仪器设备等情节严重者将依法处理。</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6</w:t>
      </w:r>
      <w:r>
        <w:rPr>
          <w:rFonts w:hint="eastAsia" w:ascii="仿宋" w:hAnsi="仿宋" w:eastAsia="仿宋"/>
          <w:sz w:val="28"/>
          <w:szCs w:val="28"/>
          <w:lang w:val="en-US" w:eastAsia="zh-CN"/>
        </w:rPr>
        <w:t>.</w:t>
      </w:r>
      <w:r>
        <w:rPr>
          <w:rFonts w:ascii="仿宋" w:hAnsi="仿宋" w:eastAsia="仿宋"/>
          <w:sz w:val="28"/>
          <w:szCs w:val="28"/>
        </w:rPr>
        <w:t>比赛期间</w:t>
      </w:r>
      <w:r>
        <w:rPr>
          <w:rFonts w:hint="eastAsia" w:ascii="仿宋" w:hAnsi="仿宋" w:eastAsia="仿宋"/>
          <w:sz w:val="28"/>
          <w:szCs w:val="28"/>
        </w:rPr>
        <w:t>禁止车辆和无关人员</w:t>
      </w:r>
      <w:r>
        <w:rPr>
          <w:rFonts w:ascii="仿宋" w:hAnsi="仿宋" w:eastAsia="仿宋"/>
          <w:sz w:val="28"/>
          <w:szCs w:val="28"/>
        </w:rPr>
        <w:t>进入赛区</w:t>
      </w:r>
      <w:r>
        <w:rPr>
          <w:rFonts w:hint="eastAsia" w:ascii="仿宋" w:hAns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w:t>
      </w:r>
      <w:r>
        <w:rPr>
          <w:rFonts w:ascii="仿宋" w:hAnsi="仿宋" w:eastAsia="仿宋"/>
          <w:sz w:val="28"/>
          <w:szCs w:val="28"/>
        </w:rPr>
        <w:t>在比赛开始前，选手要认真阅读场地内张贴的《入场须知》与应急疏散图。</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8</w:t>
      </w:r>
      <w:r>
        <w:rPr>
          <w:rFonts w:hint="eastAsia" w:ascii="仿宋" w:hAnsi="仿宋" w:eastAsia="仿宋"/>
          <w:sz w:val="28"/>
          <w:szCs w:val="28"/>
          <w:lang w:val="en-US" w:eastAsia="zh-CN"/>
        </w:rPr>
        <w:t>.</w:t>
      </w:r>
      <w:r>
        <w:rPr>
          <w:rFonts w:ascii="仿宋" w:hAnsi="仿宋" w:eastAsia="仿宋"/>
          <w:sz w:val="28"/>
          <w:szCs w:val="28"/>
        </w:rPr>
        <w:t>各类人员须严格遵守赛场规则，严禁携带比赛严令禁止的物品入内。</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9</w:t>
      </w:r>
      <w:r>
        <w:rPr>
          <w:rFonts w:hint="eastAsia" w:ascii="仿宋" w:hAnsi="仿宋" w:eastAsia="仿宋"/>
          <w:sz w:val="28"/>
          <w:szCs w:val="28"/>
          <w:lang w:val="en-US" w:eastAsia="zh-CN"/>
        </w:rPr>
        <w:t>.</w:t>
      </w:r>
      <w:r>
        <w:rPr>
          <w:rFonts w:ascii="仿宋" w:hAnsi="仿宋" w:eastAsia="仿宋"/>
          <w:sz w:val="28"/>
          <w:szCs w:val="28"/>
        </w:rPr>
        <w:t>严禁携带易燃易爆等危险品入内。</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10</w:t>
      </w:r>
      <w:r>
        <w:rPr>
          <w:rFonts w:hint="eastAsia" w:ascii="仿宋" w:hAnsi="仿宋" w:eastAsia="仿宋"/>
          <w:sz w:val="28"/>
          <w:szCs w:val="28"/>
          <w:lang w:val="en-US" w:eastAsia="zh-CN"/>
        </w:rPr>
        <w:t>.</w:t>
      </w:r>
      <w:r>
        <w:rPr>
          <w:rFonts w:ascii="仿宋" w:hAnsi="仿宋" w:eastAsia="仿宋"/>
          <w:sz w:val="28"/>
          <w:szCs w:val="28"/>
        </w:rPr>
        <w:t>安保人员发现不安全隐患及时通报赛场负责人员。</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11</w:t>
      </w:r>
      <w:r>
        <w:rPr>
          <w:rFonts w:hint="eastAsia" w:ascii="仿宋" w:hAnsi="仿宋" w:eastAsia="仿宋"/>
          <w:sz w:val="28"/>
          <w:szCs w:val="28"/>
          <w:lang w:val="en-US" w:eastAsia="zh-CN"/>
        </w:rPr>
        <w:t>.</w:t>
      </w:r>
      <w:r>
        <w:rPr>
          <w:rFonts w:ascii="仿宋" w:hAnsi="仿宋" w:eastAsia="仿宋"/>
          <w:sz w:val="28"/>
          <w:szCs w:val="28"/>
        </w:rPr>
        <w:t>如遇突发严重事件，在安保人员指挥下，迅速按紧急疏散路线撤离现场。</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35" w:name="_Toc165193496"/>
      <w:r>
        <w:rPr>
          <w:rFonts w:ascii="仿宋" w:hAnsi="仿宋" w:eastAsia="仿宋"/>
          <w:b/>
          <w:bCs w:val="0"/>
          <w:sz w:val="28"/>
          <w:szCs w:val="28"/>
        </w:rPr>
        <w:t>（</w:t>
      </w:r>
      <w:r>
        <w:rPr>
          <w:rFonts w:hint="eastAsia" w:ascii="仿宋" w:hAnsi="仿宋" w:eastAsia="仿宋"/>
          <w:b/>
          <w:bCs w:val="0"/>
          <w:sz w:val="28"/>
          <w:szCs w:val="28"/>
        </w:rPr>
        <w:t>三</w:t>
      </w:r>
      <w:r>
        <w:rPr>
          <w:rFonts w:ascii="仿宋" w:hAnsi="仿宋" w:eastAsia="仿宋"/>
          <w:b/>
          <w:bCs w:val="0"/>
          <w:sz w:val="28"/>
          <w:szCs w:val="28"/>
        </w:rPr>
        <w:t>)注意事项</w:t>
      </w:r>
      <w:bookmarkEnd w:id="35"/>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hint="eastAsia" w:ascii="仿宋" w:hAnsi="仿宋" w:eastAsia="仿宋"/>
          <w:sz w:val="28"/>
          <w:szCs w:val="28"/>
        </w:rPr>
        <w:t>选手必须遵守砂轮机、钻床等常用设备的安全操作规程。操作旋转设备，禁止手拉口吹更严禁戴手套；工作前工件应压紧，不得用手拿工件进行钻、绞、扩孔、切削。</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hint="eastAsia" w:ascii="仿宋" w:hAnsi="仿宋" w:eastAsia="仿宋"/>
          <w:sz w:val="28"/>
          <w:szCs w:val="28"/>
        </w:rPr>
        <w:t>正确穿戴好劳动防护用品（劳保鞋、护目镜、工作服</w:t>
      </w:r>
      <w:r>
        <w:rPr>
          <w:rFonts w:ascii="仿宋" w:hAnsi="仿宋" w:eastAsia="仿宋"/>
          <w:sz w:val="28"/>
          <w:szCs w:val="28"/>
        </w:rPr>
        <w:t>“</w:t>
      </w:r>
      <w:r>
        <w:rPr>
          <w:rFonts w:hint="eastAsia" w:ascii="仿宋" w:hAnsi="仿宋" w:eastAsia="仿宋"/>
          <w:sz w:val="28"/>
          <w:szCs w:val="28"/>
        </w:rPr>
        <w:t>三紧</w:t>
      </w:r>
      <w:r>
        <w:rPr>
          <w:rFonts w:ascii="仿宋" w:hAnsi="仿宋" w:eastAsia="仿宋"/>
          <w:sz w:val="28"/>
          <w:szCs w:val="28"/>
        </w:rPr>
        <w:t>”</w:t>
      </w:r>
      <w:r>
        <w:rPr>
          <w:rFonts w:hint="eastAsia" w:ascii="仿宋" w:hAnsi="仿宋" w:eastAsia="仿宋"/>
          <w:sz w:val="28"/>
          <w:szCs w:val="28"/>
        </w:rPr>
        <w:t>、口罩等）。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hint="eastAsia" w:ascii="仿宋" w:hAnsi="仿宋" w:eastAsia="仿宋"/>
          <w:sz w:val="28"/>
          <w:szCs w:val="28"/>
        </w:rPr>
        <w:t>检查所用的工具，如锤柄是否松动，扳手、锉刀、扁铲是否有裂纹；虎钳是否牢固等。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lang w:val="en-US" w:eastAsia="zh-CN"/>
        </w:rPr>
        <w:t>4.</w:t>
      </w:r>
      <w:r>
        <w:rPr>
          <w:rFonts w:hint="eastAsia" w:ascii="仿宋" w:hAnsi="仿宋" w:eastAsia="仿宋"/>
          <w:sz w:val="28"/>
          <w:szCs w:val="28"/>
        </w:rPr>
        <w:t>检查所用设备的机械传动、电气控制部分是否完好，防护装置是否安全有效；各操纵手柄是否完好，并置于正确位置。</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使用设备应空载试车，确认无误后，方可操作。</w:t>
      </w:r>
    </w:p>
    <w:p>
      <w:pPr>
        <w:pStyle w:val="2"/>
        <w:keepNext w:val="0"/>
        <w:keepLines w:val="0"/>
        <w:pageBreakBefore w:val="0"/>
        <w:widowControl w:val="0"/>
        <w:kinsoku/>
        <w:wordWrap/>
        <w:overflowPunct/>
        <w:topLinePunct w:val="0"/>
        <w:autoSpaceDE/>
        <w:autoSpaceDN/>
        <w:bidi w:val="0"/>
        <w:adjustRightInd/>
        <w:snapToGrid/>
        <w:spacing w:after="0" w:line="480" w:lineRule="exact"/>
        <w:ind w:firstLine="64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比赛完成后应清理各自台位的铁屑等，保持比赛工位整洁。</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firstLine="560" w:firstLineChars="200"/>
        <w:jc w:val="left"/>
        <w:textAlignment w:val="auto"/>
        <w:rPr>
          <w:rFonts w:hint="eastAsia" w:ascii="黑体" w:hAnsi="黑体" w:eastAsia="黑体" w:cs="黑体"/>
          <w:b w:val="0"/>
          <w:bCs w:val="0"/>
          <w:sz w:val="28"/>
          <w:szCs w:val="28"/>
        </w:rPr>
      </w:pPr>
      <w:bookmarkStart w:id="36" w:name="_Toc165193497"/>
      <w:r>
        <w:rPr>
          <w:rFonts w:hint="eastAsia" w:ascii="黑体" w:hAnsi="黑体" w:eastAsia="黑体" w:cs="黑体"/>
          <w:b w:val="0"/>
          <w:bCs w:val="0"/>
          <w:sz w:val="28"/>
          <w:szCs w:val="28"/>
        </w:rPr>
        <w:t>十、申诉与仲裁</w:t>
      </w:r>
      <w:bookmarkEnd w:id="36"/>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37" w:name="_Toc165193498"/>
      <w:r>
        <w:rPr>
          <w:rFonts w:ascii="仿宋" w:hAnsi="仿宋" w:eastAsia="仿宋"/>
          <w:b/>
          <w:bCs w:val="0"/>
          <w:sz w:val="28"/>
          <w:szCs w:val="28"/>
        </w:rPr>
        <w:t>（一）申诉</w:t>
      </w:r>
      <w:bookmarkEnd w:id="37"/>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w:t>
      </w:r>
      <w:r>
        <w:rPr>
          <w:rFonts w:ascii="仿宋" w:hAnsi="仿宋" w:eastAsia="仿宋"/>
          <w:sz w:val="28"/>
          <w:szCs w:val="28"/>
        </w:rPr>
        <w:t>参赛队对不符合竞赛规定的设备、工具、有失公正的评判、奖励，以及对工作人员的违规行为等，均可提出申诉。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w:t>
      </w:r>
      <w:r>
        <w:rPr>
          <w:rFonts w:ascii="仿宋" w:hAnsi="仿宋" w:eastAsia="仿宋"/>
          <w:sz w:val="28"/>
          <w:szCs w:val="28"/>
        </w:rPr>
        <w:t>申诉应在竞赛结束后2小时内提出，超过时效将不予受理。申诉时，应按照规定的程序由参赛队领队向赛项仲裁工作组递交书面申诉报告。报告应对申诉事件的现象、发生的时间、涉及到的人员、申诉依据与理由等进行充分、实事求是的叙述。事实依据不充分、仅凭主观臆断的申诉将不予受理。申诉报告须有申诉的参赛选手、领队签名。</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val="en-US" w:eastAsia="zh-CN"/>
        </w:rPr>
        <w:t>.</w:t>
      </w:r>
      <w:r>
        <w:rPr>
          <w:rFonts w:ascii="仿宋" w:hAnsi="仿宋" w:eastAsia="仿宋"/>
          <w:sz w:val="28"/>
          <w:szCs w:val="28"/>
        </w:rPr>
        <w:t>赛项仲裁工作组收到申诉报告后，应根据申诉事由进行审查，6小时内书面通知申诉方，告知申诉处理结果。如受理申诉，要通知申诉方举办听证会的时间和地点；如不受理申诉，要说明理由。</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val="en-US" w:eastAsia="zh-CN"/>
        </w:rPr>
        <w:t>.</w:t>
      </w:r>
      <w:r>
        <w:rPr>
          <w:rFonts w:ascii="仿宋" w:hAnsi="仿宋" w:eastAsia="仿宋"/>
          <w:sz w:val="28"/>
          <w:szCs w:val="28"/>
        </w:rPr>
        <w:t>申诉人不得无故拒不接受处理结果，不允许采取过激行为刁难、攻击工作人员，否则视为放弃申诉。申诉人不满意赛项仲裁工作组的处理结果的，可向大赛</w:t>
      </w:r>
      <w:r>
        <w:rPr>
          <w:rFonts w:hint="eastAsia" w:ascii="仿宋" w:hAnsi="仿宋" w:eastAsia="仿宋"/>
          <w:sz w:val="28"/>
          <w:szCs w:val="28"/>
        </w:rPr>
        <w:t>组委</w:t>
      </w:r>
      <w:r>
        <w:rPr>
          <w:rFonts w:ascii="仿宋" w:hAnsi="仿宋" w:eastAsia="仿宋"/>
          <w:sz w:val="28"/>
          <w:szCs w:val="28"/>
        </w:rPr>
        <w:t>会提出复议申请。</w:t>
      </w:r>
    </w:p>
    <w:p>
      <w:pPr>
        <w:pStyle w:val="8"/>
        <w:keepNext w:val="0"/>
        <w:keepLines w:val="0"/>
        <w:pageBreakBefore w:val="0"/>
        <w:widowControl w:val="0"/>
        <w:kinsoku/>
        <w:wordWrap/>
        <w:overflowPunct/>
        <w:topLinePunct w:val="0"/>
        <w:autoSpaceDE/>
        <w:autoSpaceDN/>
        <w:bidi w:val="0"/>
        <w:adjustRightInd/>
        <w:snapToGrid/>
        <w:spacing w:before="0" w:after="0" w:line="480" w:lineRule="exact"/>
        <w:ind w:firstLine="562" w:firstLineChars="200"/>
        <w:jc w:val="left"/>
        <w:textAlignment w:val="auto"/>
        <w:rPr>
          <w:rFonts w:ascii="仿宋" w:hAnsi="仿宋" w:eastAsia="仿宋"/>
          <w:b/>
          <w:bCs w:val="0"/>
          <w:sz w:val="28"/>
          <w:szCs w:val="28"/>
        </w:rPr>
      </w:pPr>
      <w:bookmarkStart w:id="38" w:name="_Toc165193499"/>
      <w:r>
        <w:rPr>
          <w:rFonts w:ascii="仿宋" w:hAnsi="仿宋" w:eastAsia="仿宋"/>
          <w:b/>
          <w:bCs w:val="0"/>
          <w:sz w:val="28"/>
          <w:szCs w:val="28"/>
        </w:rPr>
        <w:t>（二）仲裁</w:t>
      </w:r>
      <w:bookmarkEnd w:id="38"/>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sz w:val="28"/>
          <w:szCs w:val="28"/>
        </w:rPr>
      </w:pPr>
      <w:r>
        <w:rPr>
          <w:rFonts w:ascii="仿宋" w:hAnsi="仿宋" w:eastAsia="仿宋"/>
          <w:sz w:val="28"/>
          <w:szCs w:val="28"/>
        </w:rPr>
        <w:t>赛项设仲裁工作组，赛项仲裁工作组接受由代表队领队提出的对裁判结果的申诉。赛项仲裁工作组在接到申诉后的 2 小时内组织复议，并及时反馈复议结果，仲裁工作组的仲裁结果为最终结果</w:t>
      </w:r>
      <w:r>
        <w:rPr>
          <w:rFonts w:hint="eastAsia" w:ascii="仿宋" w:hAnsi="仿宋" w:eastAsia="仿宋"/>
          <w:sz w:val="28"/>
          <w:szCs w:val="28"/>
        </w:rPr>
        <w:t>。</w:t>
      </w:r>
    </w:p>
    <w:p>
      <w:pPr>
        <w:pStyle w:val="2"/>
        <w:keepNext w:val="0"/>
        <w:keepLines w:val="0"/>
        <w:pageBreakBefore w:val="0"/>
        <w:widowControl w:val="0"/>
        <w:kinsoku/>
        <w:wordWrap/>
        <w:overflowPunct/>
        <w:topLinePunct w:val="0"/>
        <w:autoSpaceDE/>
        <w:autoSpaceDN/>
        <w:bidi w:val="0"/>
        <w:adjustRightInd/>
        <w:snapToGrid/>
        <w:spacing w:after="0" w:line="480" w:lineRule="exact"/>
        <w:ind w:firstLine="640"/>
        <w:textAlignment w:val="auto"/>
        <w:rPr>
          <w:sz w:val="28"/>
          <w:szCs w:val="28"/>
        </w:rPr>
      </w:pPr>
    </w:p>
    <w:sectPr>
      <w:footerReference r:id="rId4" w:type="default"/>
      <w:type w:val="continuous"/>
      <w:pgSz w:w="11906" w:h="16838"/>
      <w:pgMar w:top="2098" w:right="1474" w:bottom="1984" w:left="1587" w:header="851" w:footer="1417"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LinTimes">
    <w:altName w:val="Segoe Print"/>
    <w:panose1 w:val="00000000000000000000"/>
    <w:charset w:val="00"/>
    <w:family w:val="auto"/>
    <w:pitch w:val="default"/>
    <w:sig w:usb0="00000000" w:usb1="00000000" w:usb2="00000008" w:usb3="00000000" w:csb0="400001FF" w:csb1="FFFF0000"/>
  </w:font>
  <w:font w:name="宋体-18030">
    <w:altName w:val="宋体"/>
    <w:panose1 w:val="00000000000000000000"/>
    <w:charset w:val="86"/>
    <w:family w:val="modern"/>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iZjg1N2RhNjY1NTFjZWIxZTVjYjI4YmE4ODBlYjgifQ=="/>
  </w:docVars>
  <w:rsids>
    <w:rsidRoot w:val="00730AF8"/>
    <w:rsid w:val="00063E3F"/>
    <w:rsid w:val="000937ED"/>
    <w:rsid w:val="000E02D5"/>
    <w:rsid w:val="000F7F9F"/>
    <w:rsid w:val="001219E0"/>
    <w:rsid w:val="00123DE9"/>
    <w:rsid w:val="0012719D"/>
    <w:rsid w:val="00142B16"/>
    <w:rsid w:val="00154B1F"/>
    <w:rsid w:val="00181988"/>
    <w:rsid w:val="001E4C75"/>
    <w:rsid w:val="00236266"/>
    <w:rsid w:val="00254FA1"/>
    <w:rsid w:val="002928CE"/>
    <w:rsid w:val="002B22E8"/>
    <w:rsid w:val="002B611C"/>
    <w:rsid w:val="00426BCD"/>
    <w:rsid w:val="00432F3D"/>
    <w:rsid w:val="00433E12"/>
    <w:rsid w:val="00460887"/>
    <w:rsid w:val="004B453D"/>
    <w:rsid w:val="00540A26"/>
    <w:rsid w:val="00570333"/>
    <w:rsid w:val="00576046"/>
    <w:rsid w:val="00583462"/>
    <w:rsid w:val="00591228"/>
    <w:rsid w:val="0059263F"/>
    <w:rsid w:val="0059765F"/>
    <w:rsid w:val="005D7C6E"/>
    <w:rsid w:val="00602DF9"/>
    <w:rsid w:val="00614150"/>
    <w:rsid w:val="00640F4D"/>
    <w:rsid w:val="00663468"/>
    <w:rsid w:val="00700F43"/>
    <w:rsid w:val="00724BA4"/>
    <w:rsid w:val="00730AF8"/>
    <w:rsid w:val="00736A2D"/>
    <w:rsid w:val="007425C3"/>
    <w:rsid w:val="00751BE1"/>
    <w:rsid w:val="007558EE"/>
    <w:rsid w:val="007611EA"/>
    <w:rsid w:val="00765AB1"/>
    <w:rsid w:val="007D6748"/>
    <w:rsid w:val="008208FB"/>
    <w:rsid w:val="00823FB7"/>
    <w:rsid w:val="00830A97"/>
    <w:rsid w:val="008379D5"/>
    <w:rsid w:val="0084270F"/>
    <w:rsid w:val="00861E9F"/>
    <w:rsid w:val="008A00C9"/>
    <w:rsid w:val="008D2ECD"/>
    <w:rsid w:val="0092549A"/>
    <w:rsid w:val="009A6637"/>
    <w:rsid w:val="009B5F09"/>
    <w:rsid w:val="009E07A5"/>
    <w:rsid w:val="009E26A5"/>
    <w:rsid w:val="00A324FA"/>
    <w:rsid w:val="00A34E9B"/>
    <w:rsid w:val="00A86E5A"/>
    <w:rsid w:val="00A94080"/>
    <w:rsid w:val="00A9623A"/>
    <w:rsid w:val="00B60A3C"/>
    <w:rsid w:val="00B642D3"/>
    <w:rsid w:val="00BA4E2A"/>
    <w:rsid w:val="00BB40C7"/>
    <w:rsid w:val="00C12D95"/>
    <w:rsid w:val="00C602DA"/>
    <w:rsid w:val="00C81531"/>
    <w:rsid w:val="00C8435D"/>
    <w:rsid w:val="00D11E61"/>
    <w:rsid w:val="00D21532"/>
    <w:rsid w:val="00D74195"/>
    <w:rsid w:val="00D8126F"/>
    <w:rsid w:val="00DA0D54"/>
    <w:rsid w:val="00DB3E96"/>
    <w:rsid w:val="00DB4E8D"/>
    <w:rsid w:val="00DC255C"/>
    <w:rsid w:val="00DD14EA"/>
    <w:rsid w:val="00E367F8"/>
    <w:rsid w:val="00E479AA"/>
    <w:rsid w:val="00E646D3"/>
    <w:rsid w:val="00E76543"/>
    <w:rsid w:val="00E82E0B"/>
    <w:rsid w:val="00E944CA"/>
    <w:rsid w:val="00E970B4"/>
    <w:rsid w:val="00EA3165"/>
    <w:rsid w:val="00EB5373"/>
    <w:rsid w:val="00EE3258"/>
    <w:rsid w:val="00F05F7C"/>
    <w:rsid w:val="00F23194"/>
    <w:rsid w:val="00F5660D"/>
    <w:rsid w:val="00FA16C8"/>
    <w:rsid w:val="00FB067F"/>
    <w:rsid w:val="00FD1F30"/>
    <w:rsid w:val="00FE1A1F"/>
    <w:rsid w:val="00FE76F7"/>
    <w:rsid w:val="00FF4317"/>
    <w:rsid w:val="079F01EB"/>
    <w:rsid w:val="1162333E"/>
    <w:rsid w:val="27D70397"/>
    <w:rsid w:val="461A545B"/>
    <w:rsid w:val="7CA421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link w:val="15"/>
    <w:autoRedefine/>
    <w:qFormat/>
    <w:uiPriority w:val="0"/>
    <w:pPr>
      <w:spacing w:after="0" w:line="560" w:lineRule="exact"/>
      <w:ind w:firstLine="721" w:firstLineChars="200"/>
    </w:pPr>
    <w:rPr>
      <w:rFonts w:eastAsia="仿宋_GB2312"/>
      <w:sz w:val="32"/>
    </w:rPr>
  </w:style>
  <w:style w:type="paragraph" w:styleId="3">
    <w:name w:val="Body Text"/>
    <w:basedOn w:val="1"/>
    <w:link w:val="14"/>
    <w:autoRedefine/>
    <w:unhideWhenUsed/>
    <w:qFormat/>
    <w:uiPriority w:val="0"/>
    <w:pPr>
      <w:spacing w:after="120"/>
    </w:pPr>
  </w:style>
  <w:style w:type="paragraph" w:styleId="4">
    <w:name w:val="Balloon Text"/>
    <w:basedOn w:val="1"/>
    <w:link w:val="18"/>
    <w:autoRedefine/>
    <w:semiHidden/>
    <w:unhideWhenUsed/>
    <w:qFormat/>
    <w:uiPriority w:val="99"/>
    <w:rPr>
      <w:sz w:val="18"/>
      <w:szCs w:val="18"/>
    </w:rPr>
  </w:style>
  <w:style w:type="paragraph" w:styleId="5">
    <w:name w:val="footer"/>
    <w:basedOn w:val="1"/>
    <w:link w:val="16"/>
    <w:autoRedefine/>
    <w:qFormat/>
    <w:uiPriority w:val="99"/>
    <w:pPr>
      <w:tabs>
        <w:tab w:val="center" w:pos="4153"/>
        <w:tab w:val="right" w:pos="8306"/>
      </w:tabs>
      <w:snapToGrid w:val="0"/>
      <w:jc w:val="left"/>
    </w:pPr>
    <w:rPr>
      <w:kern w:val="0"/>
      <w:sz w:val="18"/>
      <w:szCs w:val="18"/>
    </w:rPr>
  </w:style>
  <w:style w:type="paragraph" w:styleId="6">
    <w:name w:val="header"/>
    <w:basedOn w:val="1"/>
    <w:link w:val="1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39"/>
  </w:style>
  <w:style w:type="paragraph" w:styleId="8">
    <w:name w:val="Subtitle"/>
    <w:basedOn w:val="1"/>
    <w:next w:val="1"/>
    <w:link w:val="21"/>
    <w:autoRedefine/>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9">
    <w:name w:val="toc 2"/>
    <w:basedOn w:val="1"/>
    <w:next w:val="1"/>
    <w:autoRedefine/>
    <w:qFormat/>
    <w:uiPriority w:val="39"/>
    <w:pPr>
      <w:ind w:left="420" w:leftChars="200"/>
    </w:pPr>
  </w:style>
  <w:style w:type="paragraph" w:styleId="10">
    <w:name w:val="Title"/>
    <w:basedOn w:val="1"/>
    <w:next w:val="1"/>
    <w:link w:val="20"/>
    <w:autoRedefine/>
    <w:qFormat/>
    <w:uiPriority w:val="10"/>
    <w:pPr>
      <w:spacing w:before="240" w:after="60"/>
      <w:jc w:val="center"/>
      <w:outlineLvl w:val="0"/>
    </w:pPr>
    <w:rPr>
      <w:rFonts w:asciiTheme="majorHAnsi" w:hAnsiTheme="majorHAnsi" w:cstheme="majorBidi"/>
      <w:b/>
      <w:bCs/>
      <w:sz w:val="32"/>
      <w:szCs w:val="32"/>
    </w:rPr>
  </w:style>
  <w:style w:type="character" w:styleId="13">
    <w:name w:val="Hyperlink"/>
    <w:autoRedefine/>
    <w:qFormat/>
    <w:uiPriority w:val="99"/>
    <w:rPr>
      <w:rFonts w:ascii="Calibri" w:hAnsi="Calibri" w:eastAsia="宋体" w:cs="Times New Roman"/>
      <w:color w:val="0000FF"/>
      <w:u w:val="single"/>
    </w:rPr>
  </w:style>
  <w:style w:type="character" w:customStyle="1" w:styleId="14">
    <w:name w:val="正文文本 Char"/>
    <w:basedOn w:val="12"/>
    <w:link w:val="3"/>
    <w:autoRedefine/>
    <w:qFormat/>
    <w:uiPriority w:val="0"/>
    <w:rPr>
      <w:rFonts w:ascii="Calibri" w:hAnsi="Calibri" w:eastAsia="宋体" w:cs="Times New Roman"/>
      <w:szCs w:val="24"/>
    </w:rPr>
  </w:style>
  <w:style w:type="character" w:customStyle="1" w:styleId="15">
    <w:name w:val="正文首行缩进 Char"/>
    <w:basedOn w:val="14"/>
    <w:link w:val="2"/>
    <w:autoRedefine/>
    <w:qFormat/>
    <w:uiPriority w:val="0"/>
    <w:rPr>
      <w:rFonts w:eastAsia="仿宋_GB2312"/>
      <w:sz w:val="32"/>
    </w:rPr>
  </w:style>
  <w:style w:type="character" w:customStyle="1" w:styleId="16">
    <w:name w:val="页脚 Char"/>
    <w:basedOn w:val="12"/>
    <w:link w:val="5"/>
    <w:autoRedefine/>
    <w:qFormat/>
    <w:uiPriority w:val="99"/>
    <w:rPr>
      <w:rFonts w:ascii="Calibri" w:hAnsi="Calibri" w:eastAsia="宋体" w:cs="Times New Roman"/>
      <w:kern w:val="0"/>
      <w:sz w:val="18"/>
      <w:szCs w:val="18"/>
    </w:rPr>
  </w:style>
  <w:style w:type="table" w:customStyle="1" w:styleId="17">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18">
    <w:name w:val="批注框文本 Char"/>
    <w:basedOn w:val="12"/>
    <w:link w:val="4"/>
    <w:autoRedefine/>
    <w:semiHidden/>
    <w:qFormat/>
    <w:uiPriority w:val="99"/>
    <w:rPr>
      <w:rFonts w:ascii="Calibri" w:hAnsi="Calibri" w:eastAsia="宋体" w:cs="Times New Roman"/>
      <w:sz w:val="18"/>
      <w:szCs w:val="18"/>
    </w:rPr>
  </w:style>
  <w:style w:type="character" w:customStyle="1" w:styleId="19">
    <w:name w:val="页眉 Char"/>
    <w:basedOn w:val="12"/>
    <w:link w:val="6"/>
    <w:autoRedefine/>
    <w:semiHidden/>
    <w:qFormat/>
    <w:uiPriority w:val="99"/>
    <w:rPr>
      <w:rFonts w:ascii="Calibri" w:hAnsi="Calibri" w:eastAsia="宋体" w:cs="Times New Roman"/>
      <w:sz w:val="18"/>
      <w:szCs w:val="18"/>
    </w:rPr>
  </w:style>
  <w:style w:type="character" w:customStyle="1" w:styleId="20">
    <w:name w:val="标题 Char"/>
    <w:basedOn w:val="12"/>
    <w:link w:val="10"/>
    <w:autoRedefine/>
    <w:qFormat/>
    <w:uiPriority w:val="10"/>
    <w:rPr>
      <w:rFonts w:eastAsia="宋体" w:asciiTheme="majorHAnsi" w:hAnsiTheme="majorHAnsi" w:cstheme="majorBidi"/>
      <w:b/>
      <w:bCs/>
      <w:kern w:val="2"/>
      <w:sz w:val="32"/>
      <w:szCs w:val="32"/>
    </w:rPr>
  </w:style>
  <w:style w:type="character" w:customStyle="1" w:styleId="21">
    <w:name w:val="副标题 Char"/>
    <w:basedOn w:val="12"/>
    <w:link w:val="8"/>
    <w:autoRedefine/>
    <w:qFormat/>
    <w:uiPriority w:val="11"/>
    <w:rPr>
      <w:rFonts w:eastAsia="宋体" w:asciiTheme="majorHAnsi" w:hAnsiTheme="majorHAnsi" w:cstheme="majorBidi"/>
      <w:b/>
      <w:bCs/>
      <w:kern w:val="28"/>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9B44EB-ADBB-4D5E-AC9E-4DF2B61CD990}">
  <ds:schemaRefs/>
</ds:datastoreItem>
</file>

<file path=docProps/app.xml><?xml version="1.0" encoding="utf-8"?>
<Properties xmlns="http://schemas.openxmlformats.org/officeDocument/2006/extended-properties" xmlns:vt="http://schemas.openxmlformats.org/officeDocument/2006/docPropsVTypes">
  <Template>Normal.dotm</Template>
  <Company>中国中铁</Company>
  <Pages>14</Pages>
  <Words>1250</Words>
  <Characters>7131</Characters>
  <Lines>59</Lines>
  <Paragraphs>16</Paragraphs>
  <TotalTime>0</TotalTime>
  <ScaleCrop>false</ScaleCrop>
  <LinksUpToDate>false</LinksUpToDate>
  <CharactersWithSpaces>8365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2024-04-22T02:05:00Z</dcterms:created>
  <dc:creator>admin</dc:creator>
  <cp:lastModifiedBy>tsw1</cp:lastModifiedBy>
  <cp:lastPrinted>2024-04-29T08:17:00Z</cp:lastPrinted>
  <dcterms:modified xsi:type="dcterms:W3CDTF">2024-05-09T02:25:35Z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FD18CCDCE17442C08A1F1CF8489F4008_13</vt:lpwstr>
  </property>
</Properties>
</file>