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楷体" w:hAnsi="楷体" w:eastAsia="楷体"/>
          <w:b/>
          <w:w w:val="85"/>
          <w:sz w:val="52"/>
          <w:szCs w:val="52"/>
        </w:rPr>
      </w:pPr>
    </w:p>
    <w:p>
      <w:pPr>
        <w:ind w:left="0" w:leftChars="0" w:firstLine="0" w:firstLineChars="0"/>
        <w:jc w:val="both"/>
        <w:rPr>
          <w:rFonts w:hint="eastAsia" w:ascii="黑体" w:hAnsi="黑体" w:eastAsia="黑体" w:cs="黑体"/>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2024年宝鸡市青年职工职业技能</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暨创意创造作品大赛</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华文新魏" w:eastAsia="华文新魏"/>
          <w:sz w:val="52"/>
          <w:szCs w:val="52"/>
        </w:rPr>
      </w:pPr>
    </w:p>
    <w:p>
      <w:pPr>
        <w:jc w:val="center"/>
        <w:rPr>
          <w:rFonts w:ascii="华文新魏" w:eastAsia="华文新魏"/>
          <w:sz w:val="84"/>
          <w:szCs w:val="84"/>
        </w:rPr>
      </w:pPr>
    </w:p>
    <w:p>
      <w:pPr>
        <w:spacing w:before="100" w:beforeAutospacing="1" w:after="100" w:afterAutospacing="1"/>
        <w:jc w:val="center"/>
        <w:rPr>
          <w:rFonts w:ascii="华文中宋" w:hAnsi="华文中宋" w:eastAsia="华文中宋" w:cs="华文中宋"/>
          <w:b/>
          <w:bCs/>
          <w:sz w:val="52"/>
          <w:szCs w:val="52"/>
        </w:rPr>
      </w:pPr>
      <w:bookmarkStart w:id="10" w:name="_GoBack"/>
      <w:bookmarkEnd w:id="10"/>
      <w:r>
        <w:rPr>
          <w:rFonts w:hint="eastAsia" w:ascii="华文中宋" w:hAnsi="华文中宋" w:eastAsia="华文中宋" w:cs="华文中宋"/>
          <w:b/>
          <w:bCs/>
          <w:sz w:val="52"/>
          <w:szCs w:val="52"/>
        </w:rPr>
        <w:t>数控车工技术文件</w:t>
      </w:r>
    </w:p>
    <w:p>
      <w:pPr>
        <w:jc w:val="center"/>
        <w:rPr>
          <w:rFonts w:ascii="华文新魏" w:eastAsia="华文新魏"/>
          <w:sz w:val="52"/>
          <w:szCs w:val="52"/>
        </w:rPr>
      </w:pPr>
    </w:p>
    <w:p>
      <w:pPr>
        <w:pStyle w:val="2"/>
        <w:ind w:firstLine="640"/>
      </w:pPr>
    </w:p>
    <w:p>
      <w:pPr>
        <w:pStyle w:val="2"/>
        <w:ind w:firstLine="640"/>
      </w:pPr>
    </w:p>
    <w:p>
      <w:pPr>
        <w:rPr>
          <w:rFonts w:ascii="华文新魏" w:eastAsia="华文新魏"/>
          <w:sz w:val="52"/>
          <w:szCs w:val="52"/>
        </w:rPr>
      </w:pPr>
    </w:p>
    <w:p>
      <w:pPr>
        <w:jc w:val="center"/>
        <w:rPr>
          <w:rFonts w:ascii="华文新魏" w:eastAsia="华文新魏"/>
          <w:sz w:val="52"/>
          <w:szCs w:val="52"/>
        </w:rPr>
      </w:pPr>
    </w:p>
    <w:p>
      <w:pPr>
        <w:jc w:val="center"/>
        <w:rPr>
          <w:rFonts w:ascii="黑体" w:hAnsi="黑体" w:eastAsia="黑体" w:cs="黑体"/>
          <w:sz w:val="32"/>
          <w:szCs w:val="32"/>
        </w:rPr>
      </w:pPr>
      <w:r>
        <w:rPr>
          <w:rFonts w:hint="eastAsia" w:ascii="黑体" w:hAnsi="黑体" w:eastAsia="黑体" w:cs="黑体"/>
          <w:sz w:val="32"/>
          <w:szCs w:val="32"/>
        </w:rPr>
        <w:t>大赛组委会</w:t>
      </w:r>
    </w:p>
    <w:p>
      <w:pPr>
        <w:jc w:val="center"/>
        <w:rPr>
          <w:rFonts w:ascii="黑体" w:hAnsi="黑体" w:eastAsia="黑体" w:cs="黑体"/>
          <w:sz w:val="32"/>
          <w:szCs w:val="32"/>
        </w:rPr>
      </w:pPr>
      <w:r>
        <w:rPr>
          <w:rFonts w:hint="eastAsia" w:ascii="黑体" w:hAnsi="黑体" w:eastAsia="黑体" w:cs="黑体"/>
          <w:sz w:val="32"/>
          <w:szCs w:val="32"/>
        </w:rPr>
        <w:t>2024年</w:t>
      </w:r>
      <w:r>
        <w:rPr>
          <w:rFonts w:hint="eastAsia" w:ascii="黑体" w:hAnsi="黑体" w:eastAsia="黑体" w:cs="黑体"/>
          <w:sz w:val="32"/>
          <w:szCs w:val="32"/>
          <w:lang w:val="en-US" w:eastAsia="zh-CN"/>
        </w:rPr>
        <w:t>5</w:t>
      </w:r>
      <w:r>
        <w:rPr>
          <w:rFonts w:hint="eastAsia" w:ascii="黑体" w:hAnsi="黑体" w:eastAsia="黑体" w:cs="黑体"/>
          <w:sz w:val="32"/>
          <w:szCs w:val="32"/>
        </w:rPr>
        <w:t>月</w:t>
      </w:r>
    </w:p>
    <w:p>
      <w:pPr>
        <w:rPr>
          <w:rFonts w:ascii="黑体" w:hAnsi="黑体" w:eastAsia="黑体" w:cs="黑体"/>
          <w:sz w:val="32"/>
          <w:szCs w:val="32"/>
        </w:rPr>
      </w:pPr>
      <w:r>
        <w:rPr>
          <w:rFonts w:hint="eastAsia" w:ascii="黑体" w:hAnsi="黑体" w:eastAsia="黑体" w:cs="黑体"/>
          <w:sz w:val="32"/>
          <w:szCs w:val="32"/>
        </w:rPr>
        <w:br w:type="page"/>
      </w:r>
    </w:p>
    <w:p>
      <w:pPr>
        <w:pStyle w:val="7"/>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"_Toc135753245"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一、</w:t>
      </w:r>
      <w:r>
        <w:rPr>
          <w:rStyle w:val="11"/>
          <w:rFonts w:hint="eastAsia" w:asciiTheme="minorEastAsia" w:hAnsiTheme="minorEastAsia" w:eastAsiaTheme="minorEastAsia" w:cstheme="minorEastAsia"/>
          <w:kern w:val="0"/>
          <w:sz w:val="28"/>
          <w:szCs w:val="28"/>
          <w:lang w:val="en-GB"/>
        </w:rPr>
        <w:t>赛项名称</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二、</w:t>
      </w:r>
      <w:r>
        <w:rPr>
          <w:rStyle w:val="11"/>
          <w:rFonts w:hint="eastAsia" w:asciiTheme="minorEastAsia" w:hAnsiTheme="minorEastAsia" w:eastAsiaTheme="minorEastAsia" w:cstheme="minorEastAsia"/>
          <w:kern w:val="0"/>
          <w:sz w:val="28"/>
          <w:szCs w:val="28"/>
          <w:lang w:val="en-GB"/>
        </w:rPr>
        <w:t>赛项目的</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三</w:t>
      </w:r>
      <w:r>
        <w:rPr>
          <w:rStyle w:val="11"/>
          <w:rFonts w:hint="eastAsia" w:asciiTheme="minorEastAsia" w:hAnsiTheme="minorEastAsia" w:eastAsiaTheme="minorEastAsia" w:cstheme="minorEastAsia"/>
          <w:kern w:val="0"/>
          <w:sz w:val="28"/>
          <w:szCs w:val="28"/>
          <w:lang w:val="en-GB" w:eastAsia="en-US"/>
        </w:rPr>
        <w:t>、</w:t>
      </w:r>
      <w:r>
        <w:rPr>
          <w:rStyle w:val="11"/>
          <w:rFonts w:hint="eastAsia" w:asciiTheme="minorEastAsia" w:hAnsiTheme="minorEastAsia" w:eastAsiaTheme="minorEastAsia" w:cstheme="minorEastAsia"/>
          <w:kern w:val="0"/>
          <w:sz w:val="28"/>
          <w:szCs w:val="28"/>
          <w:lang w:val="en-GB"/>
        </w:rPr>
        <w:t>赛项内容</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"_Toc135753246"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1</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理论知识</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jc w:val="left"/>
        <w:rPr>
          <w:rFonts w:hint="eastAsia" w:asciiTheme="minorEastAsia" w:hAnsiTheme="minorEastAsia" w:eastAsiaTheme="minorEastAsia" w:cstheme="minorEastAsia"/>
          <w:sz w:val="28"/>
          <w:szCs w:val="28"/>
          <w:lang w:val="en-GB" w:eastAsia="en-US"/>
        </w:rPr>
      </w:pPr>
      <w:r>
        <w:rPr>
          <w:rFonts w:hint="eastAsia" w:asciiTheme="minorEastAsia" w:hAnsiTheme="minorEastAsia" w:eastAsiaTheme="minorEastAsia" w:cstheme="minorEastAsia"/>
          <w:sz w:val="28"/>
          <w:szCs w:val="28"/>
          <w:lang w:val="en-GB" w:eastAsia="en-US"/>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lang w:val="en-GB" w:eastAsia="en-US"/>
        </w:rPr>
        <w:t>实际操作...............................</w:t>
      </w:r>
      <w:r>
        <w:rPr>
          <w:rFonts w:hint="eastAsia" w:asciiTheme="minorEastAsia" w:hAnsiTheme="minorEastAsia" w:eastAsiaTheme="minorEastAsia" w:cstheme="minorEastAsia"/>
          <w:sz w:val="28"/>
          <w:szCs w:val="28"/>
          <w:lang w:val="en-GB"/>
        </w:rPr>
        <w:t>...</w:t>
      </w:r>
      <w:r>
        <w:rPr>
          <w:rFonts w:hint="eastAsia" w:asciiTheme="minorEastAsia" w:hAnsiTheme="minorEastAsia" w:eastAsiaTheme="minorEastAsia" w:cstheme="minorEastAsia"/>
          <w:sz w:val="28"/>
          <w:szCs w:val="28"/>
          <w:lang w:val="en-GB" w:eastAsia="en-US"/>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GB" w:eastAsia="en-US"/>
        </w:rPr>
        <w:t>1</w:t>
      </w:r>
    </w:p>
    <w:p>
      <w:pPr>
        <w:pStyle w:val="7"/>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四</w:t>
      </w:r>
      <w:r>
        <w:rPr>
          <w:rStyle w:val="11"/>
          <w:rFonts w:hint="eastAsia" w:asciiTheme="minorEastAsia" w:hAnsiTheme="minorEastAsia" w:eastAsiaTheme="minorEastAsia" w:cstheme="minorEastAsia"/>
          <w:kern w:val="0"/>
          <w:sz w:val="28"/>
          <w:szCs w:val="28"/>
          <w:lang w:val="en-GB" w:eastAsia="en-US"/>
        </w:rPr>
        <w:t>、比赛方式</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eastAsia="en-US"/>
        </w:rPr>
        <w:t>2</w:t>
      </w:r>
      <w:r>
        <w:rPr>
          <w:rStyle w:val="11"/>
          <w:rFonts w:hint="eastAsia" w:asciiTheme="minorEastAsia" w:hAnsiTheme="minorEastAsia" w:eastAsiaTheme="minorEastAsia" w:cstheme="minorEastAsia"/>
          <w:kern w:val="0"/>
          <w:sz w:val="28"/>
          <w:szCs w:val="28"/>
          <w:lang w:val="en-GB" w:eastAsia="en-US"/>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五、技术规范</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eastAsia="en-US"/>
        </w:rPr>
        <w:t>2</w:t>
      </w:r>
      <w:r>
        <w:rPr>
          <w:rStyle w:val="11"/>
          <w:rFonts w:hint="eastAsia" w:asciiTheme="minorEastAsia" w:hAnsiTheme="minorEastAsia" w:eastAsiaTheme="minorEastAsia" w:cstheme="minorEastAsia"/>
          <w:kern w:val="0"/>
          <w:sz w:val="28"/>
          <w:szCs w:val="28"/>
          <w:lang w:val="en-GB" w:eastAsia="en-US"/>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"_Toc135753249"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（一）职业素养</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"_Toc135753249"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（二）职业标准</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"_Toc135753249"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（三）命题范围</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"_Toc135753249"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（四）比赛试题</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（五）技术指标</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3</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六、评分规则</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6</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（一）评分标准</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6</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（二）评分方法</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7</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（三）成绩复核</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7</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（四）最终成绩</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（五）名次排序方法</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8</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七、技术环境</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1</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机床型号</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2</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刀具、刀柄</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3</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夹具</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4</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毛坯及辅料</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eastAsia="en-US"/>
        </w:rPr>
        <w:t>5</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eastAsia="en-US"/>
        </w:rPr>
        <w:t>量具、刀具</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6</w:t>
      </w:r>
      <w:r>
        <w:rPr>
          <w:rStyle w:val="11"/>
          <w:rFonts w:hint="eastAsia" w:asciiTheme="minorEastAsia" w:hAnsiTheme="minorEastAsia" w:eastAsiaTheme="minorEastAsia" w:cstheme="minorEastAsia"/>
          <w:kern w:val="0"/>
          <w:sz w:val="28"/>
          <w:szCs w:val="28"/>
          <w:lang w:val="en-US" w:eastAsia="zh-CN"/>
        </w:rPr>
        <w:t>.</w:t>
      </w:r>
      <w:r>
        <w:rPr>
          <w:rStyle w:val="11"/>
          <w:rFonts w:hint="eastAsia" w:asciiTheme="minorEastAsia" w:hAnsiTheme="minorEastAsia" w:eastAsiaTheme="minorEastAsia" w:cstheme="minorEastAsia"/>
          <w:kern w:val="0"/>
          <w:sz w:val="28"/>
          <w:szCs w:val="28"/>
          <w:lang w:val="en-GB"/>
        </w:rPr>
        <w:t>其它</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八、比赛规则</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（一）通用要求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8</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（二）裁判员工作要求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US" w:eastAsia="zh-CN"/>
        </w:rPr>
        <w:t>9</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（三）选手赛场要求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0</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（四）工作人员赛场要求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0</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（五）纪律处罚规定</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1</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九、赛场安全</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（一）选手安全防护措施要求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2</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（二）赛场安全要求</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4</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（三)机床操作注意事项</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5</w:t>
      </w:r>
      <w:r>
        <w:rPr>
          <w:rStyle w:val="11"/>
          <w:rFonts w:hint="eastAsia" w:asciiTheme="minorEastAsia" w:hAnsiTheme="minorEastAsia" w:eastAsiaTheme="minorEastAsia" w:cstheme="minorEastAsia"/>
          <w:kern w:val="0"/>
          <w:sz w:val="28"/>
          <w:szCs w:val="28"/>
          <w:lang w:val="en-GB"/>
        </w:rPr>
        <w:fldChar w:fldCharType="end"/>
      </w:r>
    </w:p>
    <w:p>
      <w:pPr>
        <w:pStyle w:val="7"/>
        <w:tabs>
          <w:tab w:val="right" w:leader="dot" w:pos="8608"/>
        </w:tabs>
        <w:rPr>
          <w:rStyle w:val="11"/>
          <w:rFonts w:hint="eastAsia" w:asciiTheme="minorEastAsia" w:hAnsiTheme="minorEastAsia" w:eastAsiaTheme="minorEastAsia" w:cstheme="minorEastAsia"/>
          <w:kern w:val="0"/>
          <w:sz w:val="28"/>
          <w:szCs w:val="28"/>
          <w:lang w:val="en-GB" w:eastAsia="en-US"/>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"_Toc135753248"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十、申诉与仲裁</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5</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（一）申诉</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5</w:t>
      </w:r>
      <w:r>
        <w:rPr>
          <w:rStyle w:val="11"/>
          <w:rFonts w:hint="eastAsia" w:asciiTheme="minorEastAsia" w:hAnsiTheme="minorEastAsia" w:eastAsiaTheme="minorEastAsia" w:cstheme="minorEastAsia"/>
          <w:kern w:val="0"/>
          <w:sz w:val="28"/>
          <w:szCs w:val="28"/>
          <w:lang w:val="en-GB"/>
        </w:rPr>
        <w:fldChar w:fldCharType="end"/>
      </w:r>
    </w:p>
    <w:p>
      <w:pPr>
        <w:pStyle w:val="8"/>
        <w:tabs>
          <w:tab w:val="right" w:leader="dot" w:pos="8608"/>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"_Toc135753250" </w:instrText>
      </w:r>
      <w:r>
        <w:rPr>
          <w:rFonts w:hint="eastAsia" w:asciiTheme="minorEastAsia" w:hAnsiTheme="minorEastAsia" w:eastAsiaTheme="minorEastAsia" w:cstheme="minorEastAsia"/>
          <w:sz w:val="28"/>
          <w:szCs w:val="28"/>
        </w:rPr>
        <w:fldChar w:fldCharType="separate"/>
      </w:r>
      <w:r>
        <w:rPr>
          <w:rStyle w:val="11"/>
          <w:rFonts w:hint="eastAsia" w:asciiTheme="minorEastAsia" w:hAnsiTheme="minorEastAsia" w:eastAsiaTheme="minorEastAsia" w:cstheme="minorEastAsia"/>
          <w:kern w:val="0"/>
          <w:sz w:val="28"/>
          <w:szCs w:val="28"/>
          <w:lang w:val="en-GB"/>
        </w:rPr>
        <w:t>（二）仲裁</w:t>
      </w:r>
      <w:r>
        <w:rPr>
          <w:rStyle w:val="11"/>
          <w:rFonts w:hint="eastAsia" w:asciiTheme="minorEastAsia" w:hAnsiTheme="minorEastAsia" w:eastAsiaTheme="minorEastAsia" w:cstheme="minorEastAsia"/>
          <w:kern w:val="0"/>
          <w:sz w:val="28"/>
          <w:szCs w:val="28"/>
          <w:lang w:val="en-GB" w:eastAsia="en-US"/>
        </w:rPr>
        <w:tab/>
      </w:r>
      <w:r>
        <w:rPr>
          <w:rStyle w:val="11"/>
          <w:rFonts w:hint="eastAsia" w:asciiTheme="minorEastAsia" w:hAnsiTheme="minorEastAsia" w:eastAsiaTheme="minorEastAsia" w:cstheme="minorEastAsia"/>
          <w:kern w:val="0"/>
          <w:sz w:val="28"/>
          <w:szCs w:val="28"/>
          <w:lang w:val="en-GB"/>
        </w:rPr>
        <w:t>1</w:t>
      </w:r>
      <w:r>
        <w:rPr>
          <w:rStyle w:val="11"/>
          <w:rFonts w:hint="eastAsia" w:asciiTheme="minorEastAsia" w:hAnsiTheme="minorEastAsia" w:eastAsiaTheme="minorEastAsia" w:cstheme="minorEastAsia"/>
          <w:kern w:val="0"/>
          <w:sz w:val="28"/>
          <w:szCs w:val="28"/>
          <w:lang w:val="en-US" w:eastAsia="zh-CN"/>
        </w:rPr>
        <w:t>6</w:t>
      </w:r>
      <w:r>
        <w:rPr>
          <w:rStyle w:val="11"/>
          <w:rFonts w:hint="eastAsia" w:asciiTheme="minorEastAsia" w:hAnsiTheme="minorEastAsia" w:eastAsiaTheme="minorEastAsia" w:cstheme="minorEastAsia"/>
          <w:kern w:val="0"/>
          <w:sz w:val="28"/>
          <w:szCs w:val="28"/>
          <w:lang w:val="en-GB"/>
        </w:rPr>
        <w:fldChar w:fldCharType="end"/>
      </w:r>
    </w:p>
    <w:p>
      <w:pPr>
        <w:pStyle w:val="2"/>
        <w:ind w:firstLine="640"/>
        <w:sectPr>
          <w:footerReference r:id="rId3" w:type="default"/>
          <w:pgSz w:w="11906" w:h="16838"/>
          <w:pgMar w:top="2098" w:right="1474" w:bottom="1984" w:left="1587" w:header="851" w:footer="1417" w:gutter="0"/>
          <w:pgBorders>
            <w:top w:val="none" w:sz="0" w:space="0"/>
            <w:left w:val="none" w:sz="0" w:space="0"/>
            <w:bottom w:val="none" w:sz="0" w:space="0"/>
            <w:right w:val="none" w:sz="0" w:space="0"/>
          </w:pgBorders>
          <w:pgNumType w:start="30"/>
          <w:cols w:space="0" w:num="1"/>
          <w:rtlGutter w:val="0"/>
          <w:docGrid w:type="linesAndChars" w:linePitch="319" w:charSpace="0"/>
        </w:sectPr>
      </w:pPr>
      <w:r>
        <w:rPr>
          <w:rFonts w:hint="eastAsia" w:asciiTheme="minorEastAsia" w:hAnsiTheme="minorEastAsia" w:eastAsiaTheme="minorEastAsia" w:cstheme="minorEastAsia"/>
          <w:bCs/>
          <w:sz w:val="28"/>
          <w:szCs w:val="28"/>
          <w:lang w:val="zh-CN"/>
        </w:rPr>
        <w:fldChar w:fldCharType="end"/>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sz w:val="28"/>
          <w:szCs w:val="28"/>
        </w:rPr>
      </w:pPr>
      <w:bookmarkStart w:id="0" w:name="_Toc135753245"/>
      <w:r>
        <w:rPr>
          <w:rFonts w:ascii="黑体" w:hAnsi="黑体" w:eastAsia="黑体" w:cs="LinTimes"/>
          <w:sz w:val="28"/>
          <w:szCs w:val="28"/>
        </w:rPr>
        <w:t>一、</w:t>
      </w:r>
      <w:r>
        <w:rPr>
          <w:rFonts w:hint="eastAsia" w:ascii="黑体" w:hAnsi="黑体" w:eastAsia="黑体" w:cs="LinTimes"/>
          <w:sz w:val="28"/>
          <w:szCs w:val="28"/>
        </w:rPr>
        <w:t>赛项</w:t>
      </w:r>
      <w:bookmarkEnd w:id="0"/>
      <w:r>
        <w:rPr>
          <w:rFonts w:hint="eastAsia" w:ascii="黑体" w:hAnsi="黑体" w:eastAsia="黑体" w:cs="LinTimes"/>
          <w:sz w:val="28"/>
          <w:szCs w:val="28"/>
        </w:rPr>
        <w:t>名称</w:t>
      </w:r>
    </w:p>
    <w:p>
      <w:pPr>
        <w:keepNext w:val="0"/>
        <w:keepLines w:val="0"/>
        <w:pageBreakBefore w:val="0"/>
        <w:widowControl w:val="0"/>
        <w:kinsoku/>
        <w:wordWrap/>
        <w:overflowPunct/>
        <w:topLinePunct w:val="0"/>
        <w:autoSpaceDE/>
        <w:autoSpaceDN/>
        <w:bidi w:val="0"/>
        <w:adjustRightInd/>
        <w:spacing w:line="480" w:lineRule="exact"/>
        <w:ind w:firstLine="618" w:firstLineChars="221"/>
        <w:textAlignment w:val="auto"/>
        <w:rPr>
          <w:rFonts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rPr>
        <w:t>工种名称：数控车工</w:t>
      </w:r>
    </w:p>
    <w:p>
      <w:pPr>
        <w:keepNext w:val="0"/>
        <w:keepLines w:val="0"/>
        <w:pageBreakBefore w:val="0"/>
        <w:widowControl w:val="0"/>
        <w:kinsoku/>
        <w:wordWrap/>
        <w:overflowPunct/>
        <w:topLinePunct w:val="0"/>
        <w:autoSpaceDE/>
        <w:autoSpaceDN/>
        <w:bidi w:val="0"/>
        <w:adjustRightInd/>
        <w:spacing w:line="480" w:lineRule="exact"/>
        <w:ind w:firstLine="618" w:firstLineChars="221"/>
        <w:textAlignment w:val="auto"/>
        <w:rPr>
          <w:rFonts w:ascii="仿宋" w:hAnsi="仿宋" w:eastAsia="仿宋" w:cs="LinTimes"/>
          <w:sz w:val="28"/>
          <w:szCs w:val="28"/>
        </w:rPr>
      </w:pPr>
      <w:r>
        <w:rPr>
          <w:rFonts w:hint="eastAsia" w:ascii="仿宋" w:hAnsi="仿宋" w:eastAsia="仿宋" w:cs="宋体"/>
          <w:kern w:val="0"/>
          <w:sz w:val="28"/>
          <w:szCs w:val="28"/>
        </w:rPr>
        <w:t>2</w:t>
      </w: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rPr>
        <w:t>工种定义：指利用数控车床进行数控加工程序编制和操作设备对零件进行车削加工</w:t>
      </w:r>
      <w:r>
        <w:rPr>
          <w:rFonts w:hint="eastAsia" w:ascii="仿宋" w:hAnsi="仿宋" w:eastAsia="仿宋" w:cs="LinTimes"/>
          <w:sz w:val="28"/>
          <w:szCs w:val="28"/>
        </w:rPr>
        <w:t>。</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hint="eastAsia" w:ascii="黑体" w:hAnsi="黑体" w:eastAsia="黑体" w:cs="LinTimes"/>
          <w:sz w:val="28"/>
          <w:szCs w:val="28"/>
        </w:rPr>
        <w:t>二、赛项目的</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rFonts w:ascii="仿宋_GB2312" w:hAnsi="仿宋_GB2312" w:cs="仿宋_GB2312"/>
          <w:sz w:val="28"/>
          <w:szCs w:val="28"/>
        </w:rPr>
      </w:pPr>
      <w:r>
        <w:rPr>
          <w:rFonts w:hint="eastAsia" w:ascii="仿宋" w:hAnsi="仿宋" w:eastAsia="仿宋" w:cs="LinTimes"/>
          <w:sz w:val="28"/>
          <w:szCs w:val="28"/>
        </w:rPr>
        <w:t>通过本赛项</w:t>
      </w:r>
      <w:r>
        <w:rPr>
          <w:rFonts w:ascii="仿宋" w:hAnsi="仿宋" w:eastAsia="仿宋" w:cs="LinTimes"/>
          <w:sz w:val="28"/>
          <w:szCs w:val="28"/>
        </w:rPr>
        <w:t>将全面展现</w:t>
      </w:r>
      <w:r>
        <w:rPr>
          <w:rFonts w:hint="eastAsia" w:ascii="仿宋" w:hAnsi="仿宋" w:eastAsia="仿宋" w:cs="LinTimes"/>
          <w:sz w:val="28"/>
          <w:szCs w:val="28"/>
        </w:rPr>
        <w:t>青年</w:t>
      </w:r>
      <w:r>
        <w:rPr>
          <w:rFonts w:ascii="仿宋" w:hAnsi="仿宋" w:eastAsia="仿宋" w:cs="LinTimes"/>
          <w:sz w:val="28"/>
          <w:szCs w:val="28"/>
        </w:rPr>
        <w:t>选手专业知识、岗位技能、职业素养和精神风貌，促进</w:t>
      </w:r>
      <w:r>
        <w:rPr>
          <w:rFonts w:hint="eastAsia" w:ascii="仿宋" w:hAnsi="仿宋" w:eastAsia="仿宋" w:cs="LinTimes"/>
          <w:sz w:val="28"/>
          <w:szCs w:val="28"/>
        </w:rPr>
        <w:t>数控技术</w:t>
      </w:r>
      <w:r>
        <w:rPr>
          <w:rFonts w:ascii="仿宋" w:hAnsi="仿宋" w:eastAsia="仿宋" w:cs="LinTimes"/>
          <w:sz w:val="28"/>
          <w:szCs w:val="28"/>
        </w:rPr>
        <w:t>与制造水平的提升，引领行业发展，</w:t>
      </w:r>
      <w:r>
        <w:rPr>
          <w:rFonts w:hint="eastAsia" w:ascii="仿宋" w:hAnsi="仿宋" w:eastAsia="仿宋" w:cs="LinTimes"/>
          <w:sz w:val="28"/>
          <w:szCs w:val="28"/>
        </w:rPr>
        <w:t>推动</w:t>
      </w:r>
      <w:r>
        <w:rPr>
          <w:rFonts w:hint="eastAsia" w:ascii="仿宋_GB2312" w:hAnsi="仿宋_GB2312" w:cs="仿宋_GB2312"/>
          <w:color w:val="000000"/>
          <w:kern w:val="0"/>
          <w:sz w:val="28"/>
          <w:szCs w:val="28"/>
        </w:rPr>
        <w:t>全市青年高技能人才在重大工程、重大项目、重点产业中建功立业，</w:t>
      </w:r>
      <w:r>
        <w:rPr>
          <w:rFonts w:hint="eastAsia" w:ascii="仿宋_GB2312" w:hAnsi="仿宋_GB2312" w:cs="仿宋_GB2312"/>
          <w:sz w:val="28"/>
          <w:szCs w:val="28"/>
        </w:rPr>
        <w:t>加快我市发展型城市建设，推动产业工人队伍建设改革走深走实。</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hint="eastAsia" w:ascii="黑体" w:hAnsi="黑体" w:eastAsia="黑体" w:cs="LinTimes"/>
          <w:sz w:val="28"/>
          <w:szCs w:val="28"/>
        </w:rPr>
        <w:t>三、赛项内容</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rFonts w:ascii="仿宋" w:hAnsi="仿宋" w:eastAsia="仿宋" w:cs="LinTimes"/>
          <w:sz w:val="28"/>
          <w:szCs w:val="28"/>
        </w:rPr>
      </w:pPr>
      <w:r>
        <w:rPr>
          <w:rFonts w:hint="eastAsia" w:ascii="仿宋" w:hAnsi="仿宋" w:eastAsia="仿宋" w:cs="LinTimes"/>
          <w:sz w:val="28"/>
          <w:szCs w:val="28"/>
        </w:rPr>
        <w:t>本赛项包括理论知识和实际操作两部分，</w:t>
      </w:r>
      <w:r>
        <w:rPr>
          <w:rFonts w:hint="eastAsia" w:ascii="仿宋" w:hAnsi="仿宋" w:eastAsia="仿宋"/>
          <w:sz w:val="28"/>
          <w:szCs w:val="28"/>
        </w:rPr>
        <w:t>具体内容如下。</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b/>
          <w:bCs/>
          <w:sz w:val="28"/>
          <w:szCs w:val="28"/>
        </w:rPr>
      </w:pPr>
      <w:r>
        <w:rPr>
          <w:rFonts w:hint="eastAsia"/>
          <w:b/>
          <w:bCs/>
          <w:sz w:val="28"/>
          <w:szCs w:val="28"/>
          <w:lang w:eastAsia="zh-CN"/>
        </w:rPr>
        <w:t>（一）</w:t>
      </w:r>
      <w:r>
        <w:rPr>
          <w:rFonts w:hint="eastAsia"/>
          <w:b/>
          <w:bCs/>
          <w:sz w:val="28"/>
          <w:szCs w:val="28"/>
        </w:rPr>
        <w:t>理论知识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涉及知识为数控车工艺与设备、机械制图、公差配合、金属材料与热处理、工装与刀具、液压与气压、金属加工工艺基础、计算机制图、测量知识、智能制造及“四新”知识、质量与现场管理、安全防护等知识。</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hint="eastAsia" w:ascii="仿宋" w:hAnsi="仿宋" w:eastAsia="仿宋" w:cs="LinTimes"/>
          <w:b/>
          <w:bCs/>
          <w:sz w:val="28"/>
          <w:szCs w:val="28"/>
          <w:lang w:eastAsia="zh-CN"/>
        </w:rPr>
        <w:t>（二）</w:t>
      </w:r>
      <w:r>
        <w:rPr>
          <w:rFonts w:hint="eastAsia" w:ascii="仿宋" w:hAnsi="仿宋" w:eastAsia="仿宋" w:cs="LinTimes"/>
          <w:b/>
          <w:bCs/>
          <w:sz w:val="28"/>
          <w:szCs w:val="28"/>
        </w:rPr>
        <w:t>实际操作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（1）单件</w:t>
      </w:r>
      <w:r>
        <w:rPr>
          <w:rFonts w:ascii="仿宋" w:hAnsi="仿宋" w:eastAsia="仿宋"/>
          <w:sz w:val="28"/>
          <w:szCs w:val="28"/>
        </w:rPr>
        <w:t>加工。根据任务书利用现场提供的数控车床和毛坯（一件）等，按图纸要求完成独立赛件加工。</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（2）单件</w:t>
      </w:r>
      <w:r>
        <w:rPr>
          <w:rFonts w:ascii="仿宋" w:hAnsi="仿宋" w:eastAsia="仿宋"/>
          <w:sz w:val="28"/>
          <w:szCs w:val="28"/>
        </w:rPr>
        <w:t>检验。根据任务书中提供的资料和要求，</w:t>
      </w:r>
      <w:r>
        <w:rPr>
          <w:rFonts w:hint="eastAsia" w:ascii="仿宋" w:hAnsi="仿宋" w:eastAsia="仿宋"/>
          <w:sz w:val="28"/>
          <w:szCs w:val="28"/>
        </w:rPr>
        <w:t>确定检测方案和方法，</w:t>
      </w:r>
      <w:r>
        <w:rPr>
          <w:rFonts w:ascii="仿宋" w:hAnsi="仿宋" w:eastAsia="仿宋"/>
          <w:sz w:val="28"/>
          <w:szCs w:val="28"/>
        </w:rPr>
        <w:t>合理选用量具，按照检测任务书要求进行检测，填写检测结果</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618" w:firstLineChars="221"/>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小批量加工。根据任务书利用现场提供的数控车床和毛坯（四件）等，按图纸要求加工完成小批量赛件 3 件，第 4 件毛坯选手可根据自己加工情况选择性使用（不配分）。三件产品同一精度完全符合图纸和评分表要求该项计满分，两件同一精度合格计一半分，一件或没有一件同一精度合格计 0 分。</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sz w:val="28"/>
          <w:szCs w:val="28"/>
        </w:rPr>
      </w:pPr>
      <w:r>
        <w:rPr>
          <w:rFonts w:hint="eastAsia" w:ascii="仿宋" w:hAnsi="仿宋" w:eastAsia="仿宋"/>
          <w:sz w:val="28"/>
          <w:szCs w:val="28"/>
        </w:rPr>
        <w:t>（4）</w:t>
      </w:r>
      <w:r>
        <w:rPr>
          <w:rFonts w:hint="eastAsia"/>
          <w:sz w:val="28"/>
          <w:szCs w:val="28"/>
        </w:rPr>
        <w:t>装配。</w:t>
      </w:r>
      <w:r>
        <w:rPr>
          <w:rFonts w:ascii="仿宋" w:hAnsi="仿宋" w:eastAsia="仿宋"/>
          <w:sz w:val="28"/>
          <w:szCs w:val="28"/>
        </w:rPr>
        <w:t>根据任务书</w:t>
      </w:r>
      <w:r>
        <w:rPr>
          <w:rFonts w:hint="eastAsia" w:ascii="仿宋" w:hAnsi="仿宋" w:eastAsia="仿宋"/>
          <w:sz w:val="28"/>
          <w:szCs w:val="28"/>
        </w:rPr>
        <w:t>进行单件装配并符合装配技术要求。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职业素养。考核以下方面：①操作设备的规范性；② 工具、量具、刀具的放置及正确使用；③现场的安全、文明生产及安全防护（穿工作服、工作鞋、佩戴工作帽、护目镜）；④完成任务的计划性、条理性以及遇到问题时的应对状况等；⑤尊重赛场工作人员，爱惜赛场的设备和器材，保持赛位的整洁</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hint="eastAsia" w:ascii="黑体" w:hAnsi="黑体" w:eastAsia="黑体" w:cs="LinTimes"/>
          <w:sz w:val="28"/>
          <w:szCs w:val="28"/>
        </w:rPr>
        <w:t>四、比赛方式</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本</w:t>
      </w:r>
      <w:r>
        <w:rPr>
          <w:rFonts w:ascii="仿宋" w:hAnsi="仿宋" w:eastAsia="仿宋"/>
          <w:sz w:val="28"/>
          <w:szCs w:val="28"/>
        </w:rPr>
        <w:t>赛</w:t>
      </w:r>
      <w:r>
        <w:rPr>
          <w:rFonts w:hint="eastAsia" w:ascii="仿宋" w:hAnsi="仿宋" w:eastAsia="仿宋"/>
          <w:sz w:val="28"/>
          <w:szCs w:val="28"/>
        </w:rPr>
        <w:t>项以单人</w:t>
      </w:r>
      <w:r>
        <w:rPr>
          <w:rFonts w:ascii="仿宋" w:hAnsi="仿宋" w:eastAsia="仿宋"/>
          <w:sz w:val="28"/>
          <w:szCs w:val="28"/>
        </w:rPr>
        <w:t>形式</w:t>
      </w:r>
      <w:r>
        <w:rPr>
          <w:rFonts w:hint="eastAsia" w:ascii="仿宋" w:hAnsi="仿宋" w:eastAsia="仿宋"/>
          <w:sz w:val="28"/>
          <w:szCs w:val="28"/>
        </w:rPr>
        <w:t>组织竞赛，</w:t>
      </w:r>
      <w:r>
        <w:rPr>
          <w:rFonts w:ascii="仿宋" w:hAnsi="仿宋" w:eastAsia="仿宋"/>
          <w:sz w:val="28"/>
          <w:szCs w:val="28"/>
        </w:rPr>
        <w:t>完成比赛规定的全部工作任务的时间为 3</w:t>
      </w:r>
      <w:r>
        <w:rPr>
          <w:rFonts w:hint="eastAsia" w:ascii="仿宋" w:hAnsi="仿宋" w:eastAsia="仿宋"/>
          <w:sz w:val="28"/>
          <w:szCs w:val="28"/>
        </w:rPr>
        <w:t>3</w:t>
      </w:r>
      <w:r>
        <w:rPr>
          <w:rFonts w:ascii="仿宋" w:hAnsi="仿宋" w:eastAsia="仿宋"/>
          <w:sz w:val="28"/>
          <w:szCs w:val="28"/>
        </w:rPr>
        <w:t xml:space="preserve">0 分钟。其中理论知识竞赛部分为 </w:t>
      </w:r>
      <w:r>
        <w:rPr>
          <w:rFonts w:hint="eastAsia" w:ascii="仿宋" w:hAnsi="仿宋" w:eastAsia="仿宋"/>
          <w:sz w:val="28"/>
          <w:szCs w:val="28"/>
        </w:rPr>
        <w:t>9</w:t>
      </w:r>
      <w:r>
        <w:rPr>
          <w:rFonts w:ascii="仿宋" w:hAnsi="仿宋" w:eastAsia="仿宋"/>
          <w:sz w:val="28"/>
          <w:szCs w:val="28"/>
        </w:rPr>
        <w:t>0 分钟，操作技能竞赛部分为 240 分钟（含 30 分钟准备时间）。</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hint="eastAsia" w:ascii="黑体" w:hAnsi="黑体" w:eastAsia="黑体" w:cs="LinTimes"/>
          <w:sz w:val="28"/>
          <w:szCs w:val="28"/>
        </w:rPr>
        <w:t>五、技术规范</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（一）职业素养</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敬业爱岗，忠于职守，严于律已，刻苦钻研；</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勤于学习，善于思考，勇于探索，敏于创新；</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认真负责，吃苦耐劳，团结协作，精益求精；</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遵守操作规程，安全、文明生产；</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着装规范整洁，爱护设备，保持工作环境清洁有序。</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（二）职业标准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按照</w:t>
      </w:r>
      <w:r>
        <w:rPr>
          <w:rFonts w:hint="eastAsia" w:ascii="仿宋" w:hAnsi="仿宋" w:eastAsia="仿宋"/>
          <w:sz w:val="28"/>
          <w:szCs w:val="28"/>
        </w:rPr>
        <w:t>国家职业标准</w:t>
      </w:r>
      <w:r>
        <w:rPr>
          <w:rFonts w:ascii="仿宋" w:hAnsi="仿宋" w:eastAsia="仿宋"/>
          <w:sz w:val="28"/>
          <w:szCs w:val="28"/>
        </w:rPr>
        <w:t>《车工（数控）国家职业技能标准（2009 年修订）》</w:t>
      </w:r>
      <w:r>
        <w:rPr>
          <w:rFonts w:hint="eastAsia" w:ascii="仿宋" w:hAnsi="仿宋" w:eastAsia="仿宋"/>
          <w:sz w:val="28"/>
          <w:szCs w:val="28"/>
        </w:rPr>
        <w:t>职业资格三级（高级工）标准实施。</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hint="eastAsia" w:ascii="仿宋" w:hAnsi="仿宋" w:eastAsia="仿宋"/>
          <w:b/>
          <w:bCs/>
          <w:sz w:val="28"/>
          <w:szCs w:val="28"/>
        </w:rPr>
        <w:t>（三）命题范围</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参照相关专业职业技能鉴定标准中关于高级工应具备的理论知识和操作技能要求，适当体现现代加工技术和新知识，</w:t>
      </w:r>
      <w:r>
        <w:rPr>
          <w:rFonts w:hint="eastAsia" w:ascii="仿宋" w:hAnsi="仿宋" w:eastAsia="仿宋"/>
          <w:sz w:val="28"/>
          <w:szCs w:val="28"/>
        </w:rPr>
        <w:t>同时</w:t>
      </w:r>
      <w:r>
        <w:rPr>
          <w:rFonts w:ascii="仿宋" w:hAnsi="仿宋" w:eastAsia="仿宋"/>
          <w:sz w:val="28"/>
          <w:szCs w:val="28"/>
        </w:rPr>
        <w:t>紧密联系企业生产实际，组织专家命题。</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（四）</w:t>
      </w:r>
      <w:r>
        <w:rPr>
          <w:rFonts w:hint="eastAsia" w:ascii="仿宋" w:hAnsi="仿宋" w:eastAsia="仿宋"/>
          <w:b/>
          <w:bCs/>
          <w:sz w:val="28"/>
          <w:szCs w:val="28"/>
        </w:rPr>
        <w:t>比</w:t>
      </w:r>
      <w:r>
        <w:rPr>
          <w:rFonts w:ascii="仿宋" w:hAnsi="仿宋" w:eastAsia="仿宋"/>
          <w:b/>
          <w:bCs/>
          <w:sz w:val="28"/>
          <w:szCs w:val="28"/>
        </w:rPr>
        <w:t>赛试题</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理论知识比</w:t>
      </w:r>
      <w:r>
        <w:rPr>
          <w:rFonts w:ascii="仿宋" w:hAnsi="仿宋" w:eastAsia="仿宋"/>
          <w:sz w:val="28"/>
          <w:szCs w:val="28"/>
        </w:rPr>
        <w:t>赛采用闭卷进行。</w:t>
      </w:r>
      <w:r>
        <w:rPr>
          <w:rFonts w:hint="eastAsia" w:ascii="仿宋" w:hAnsi="仿宋" w:eastAsia="仿宋"/>
          <w:sz w:val="28"/>
          <w:szCs w:val="28"/>
        </w:rPr>
        <w:t>在规定时间完成笔试答题，考题分选择、判断、填空、问答及综合应用等题型。</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实际操作比</w:t>
      </w:r>
      <w:r>
        <w:rPr>
          <w:rFonts w:ascii="仿宋" w:hAnsi="仿宋" w:eastAsia="仿宋"/>
          <w:sz w:val="28"/>
          <w:szCs w:val="28"/>
        </w:rPr>
        <w:t>赛采用公开赛题的方式进行，赛前在</w:t>
      </w:r>
      <w:r>
        <w:rPr>
          <w:rFonts w:hint="eastAsia" w:ascii="仿宋" w:hAnsi="仿宋" w:eastAsia="仿宋"/>
          <w:sz w:val="28"/>
          <w:szCs w:val="28"/>
        </w:rPr>
        <w:t>比</w:t>
      </w:r>
      <w:r>
        <w:rPr>
          <w:rFonts w:ascii="仿宋" w:hAnsi="仿宋" w:eastAsia="仿宋"/>
          <w:sz w:val="28"/>
          <w:szCs w:val="28"/>
        </w:rPr>
        <w:t>赛平台上公布样题，赛前将对样题进行不超过 20%的修改，共修改成</w:t>
      </w:r>
      <w:r>
        <w:rPr>
          <w:rFonts w:hint="eastAsia" w:ascii="仿宋" w:hAnsi="仿宋" w:eastAsia="仿宋"/>
          <w:sz w:val="28"/>
          <w:szCs w:val="28"/>
        </w:rPr>
        <w:t>6</w:t>
      </w:r>
      <w:r>
        <w:rPr>
          <w:rFonts w:ascii="仿宋" w:hAnsi="仿宋" w:eastAsia="仿宋"/>
          <w:sz w:val="28"/>
          <w:szCs w:val="28"/>
        </w:rPr>
        <w:t>套赛题作为</w:t>
      </w:r>
      <w:r>
        <w:rPr>
          <w:rFonts w:hint="eastAsia" w:ascii="仿宋" w:hAnsi="仿宋" w:eastAsia="仿宋"/>
          <w:sz w:val="28"/>
          <w:szCs w:val="28"/>
        </w:rPr>
        <w:t>比</w:t>
      </w:r>
      <w:r>
        <w:rPr>
          <w:rFonts w:ascii="仿宋" w:hAnsi="仿宋" w:eastAsia="仿宋"/>
          <w:sz w:val="28"/>
          <w:szCs w:val="28"/>
        </w:rPr>
        <w:t>赛用题库。每场比赛开始前由赛项执委会安排人员现场随机抽取 1 套作为正式赛题。</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（五）技术指标</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操作技能</w:t>
      </w:r>
      <w:r>
        <w:rPr>
          <w:rFonts w:hint="eastAsia" w:ascii="仿宋" w:hAnsi="仿宋" w:eastAsia="仿宋"/>
          <w:sz w:val="28"/>
          <w:szCs w:val="28"/>
        </w:rPr>
        <w:t>比</w:t>
      </w:r>
      <w:r>
        <w:rPr>
          <w:rFonts w:ascii="仿宋" w:hAnsi="仿宋" w:eastAsia="仿宋"/>
          <w:sz w:val="28"/>
          <w:szCs w:val="28"/>
        </w:rPr>
        <w:t>赛材料</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赛件采用</w:t>
      </w:r>
      <w:r>
        <w:rPr>
          <w:rFonts w:hint="eastAsia" w:ascii="仿宋" w:hAnsi="仿宋" w:eastAsia="仿宋"/>
          <w:sz w:val="28"/>
          <w:szCs w:val="28"/>
        </w:rPr>
        <w:t>钢件</w:t>
      </w:r>
      <w:r>
        <w:rPr>
          <w:rFonts w:ascii="仿宋" w:hAnsi="仿宋" w:eastAsia="仿宋"/>
          <w:sz w:val="28"/>
          <w:szCs w:val="28"/>
        </w:rPr>
        <w:t xml:space="preserve">，牌号为 </w:t>
      </w:r>
      <w:r>
        <w:rPr>
          <w:rFonts w:hint="eastAsia" w:ascii="仿宋" w:hAnsi="仿宋" w:eastAsia="仿宋"/>
          <w:sz w:val="28"/>
          <w:szCs w:val="28"/>
        </w:rPr>
        <w:t>45钢</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操作技能</w:t>
      </w:r>
      <w:r>
        <w:rPr>
          <w:rFonts w:hint="eastAsia" w:ascii="仿宋" w:hAnsi="仿宋" w:eastAsia="仿宋"/>
          <w:sz w:val="28"/>
          <w:szCs w:val="28"/>
        </w:rPr>
        <w:t>比</w:t>
      </w:r>
      <w:r>
        <w:rPr>
          <w:rFonts w:ascii="仿宋" w:hAnsi="仿宋" w:eastAsia="仿宋"/>
          <w:sz w:val="28"/>
          <w:szCs w:val="28"/>
        </w:rPr>
        <w:t>赛命题要素</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比</w:t>
      </w:r>
      <w:r>
        <w:rPr>
          <w:rFonts w:ascii="仿宋" w:hAnsi="仿宋" w:eastAsia="仿宋"/>
          <w:sz w:val="28"/>
          <w:szCs w:val="28"/>
        </w:rPr>
        <w:t>赛命题要素如表 1 所示。</w:t>
      </w:r>
    </w:p>
    <w:p>
      <w:pPr>
        <w:pStyle w:val="3"/>
        <w:spacing w:before="203"/>
        <w:ind w:right="-79"/>
        <w:jc w:val="center"/>
        <w:rPr>
          <w:spacing w:val="-3"/>
        </w:rPr>
      </w:pPr>
    </w:p>
    <w:p>
      <w:pPr>
        <w:pStyle w:val="3"/>
        <w:spacing w:before="203"/>
        <w:ind w:right="-79"/>
        <w:jc w:val="center"/>
      </w:pPr>
      <w:r>
        <w:rPr>
          <w:spacing w:val="-3"/>
        </w:rPr>
        <w:t xml:space="preserve">表 </w:t>
      </w:r>
      <w:r>
        <w:t>1</w:t>
      </w:r>
      <w:r>
        <w:rPr>
          <w:spacing w:val="-3"/>
        </w:rPr>
        <w:t xml:space="preserve"> </w:t>
      </w:r>
      <w:r>
        <w:rPr>
          <w:rFonts w:hint="eastAsia"/>
          <w:spacing w:val="-3"/>
        </w:rPr>
        <w:t>比</w:t>
      </w:r>
      <w:r>
        <w:rPr>
          <w:spacing w:val="-3"/>
        </w:rPr>
        <w:t>赛命题</w:t>
      </w:r>
      <w:r>
        <w:rPr>
          <w:rFonts w:hint="eastAsia"/>
          <w:spacing w:val="-3"/>
        </w:rPr>
        <w:t>要</w:t>
      </w:r>
      <w:r>
        <w:rPr>
          <w:spacing w:val="-3"/>
        </w:rPr>
        <w:t>素</w:t>
      </w:r>
    </w:p>
    <w:p>
      <w:pPr>
        <w:pStyle w:val="3"/>
        <w:spacing w:before="50" w:line="374" w:lineRule="auto"/>
        <w:ind w:right="-79" w:firstLine="464" w:firstLineChars="221"/>
        <w:jc w:val="right"/>
      </w:pPr>
      <w:r>
        <w:drawing>
          <wp:inline distT="0" distB="0" distL="0" distR="0">
            <wp:extent cx="5286375" cy="3115310"/>
            <wp:effectExtent l="0" t="0" r="9525" b="889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noChangeArrowheads="1"/>
                    </pic:cNvPicPr>
                  </pic:nvPicPr>
                  <pic:blipFill>
                    <a:blip r:embed="rId6" cstate="print"/>
                    <a:srcRect/>
                    <a:stretch>
                      <a:fillRect/>
                    </a:stretch>
                  </pic:blipFill>
                  <pic:spPr>
                    <a:xfrm>
                      <a:off x="0" y="0"/>
                      <a:ext cx="5286375" cy="3115310"/>
                    </a:xfrm>
                    <a:prstGeom prst="rect">
                      <a:avLst/>
                    </a:prstGeom>
                    <a:noFill/>
                    <a:ln w="9525">
                      <a:noFill/>
                      <a:miter lim="800000"/>
                      <a:headEnd/>
                      <a:tailEnd/>
                    </a:ln>
                  </pic:spPr>
                </pic:pic>
              </a:graphicData>
            </a:graphic>
          </wp:inline>
        </w:drawing>
      </w:r>
      <w:r>
        <w:drawing>
          <wp:inline distT="0" distB="0" distL="0" distR="0">
            <wp:extent cx="5264150" cy="4097655"/>
            <wp:effectExtent l="19050" t="0" r="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noChangeArrowheads="1"/>
                    </pic:cNvPicPr>
                  </pic:nvPicPr>
                  <pic:blipFill>
                    <a:blip r:embed="rId7" cstate="print"/>
                    <a:srcRect/>
                    <a:stretch>
                      <a:fillRect/>
                    </a:stretch>
                  </pic:blipFill>
                  <pic:spPr>
                    <a:xfrm>
                      <a:off x="0" y="0"/>
                      <a:ext cx="5264679" cy="4097912"/>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加工精度要求</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尺寸和位置精度不高于IT7级，表面粗糙度不超过Ra1.6</w:t>
      </w:r>
      <w:r>
        <w:rPr>
          <w:rFonts w:ascii="Arial" w:hAnsi="Arial" w:eastAsia="仿宋" w:cs="Arial"/>
          <w:sz w:val="28"/>
          <w:szCs w:val="28"/>
        </w:rPr>
        <w:t>µ</w:t>
      </w:r>
      <w:r>
        <w:rPr>
          <w:rFonts w:ascii="仿宋" w:hAnsi="仿宋" w:eastAsia="仿宋"/>
          <w:sz w:val="28"/>
          <w:szCs w:val="28"/>
        </w:rPr>
        <w:t>m</w:t>
      </w:r>
      <w:r>
        <w:rPr>
          <w:rFonts w:hint="eastAsia" w:ascii="仿宋" w:hAnsi="仿宋" w:eastAsia="仿宋"/>
          <w:sz w:val="28"/>
          <w:szCs w:val="28"/>
        </w:rPr>
        <w:t>，加工精度要求如表2。</w:t>
      </w:r>
    </w:p>
    <w:p>
      <w:pPr>
        <w:pStyle w:val="2"/>
        <w:ind w:firstLine="640"/>
      </w:pPr>
    </w:p>
    <w:p>
      <w:pPr>
        <w:pStyle w:val="3"/>
        <w:spacing w:before="129"/>
        <w:ind w:right="-79"/>
        <w:jc w:val="center"/>
      </w:pPr>
      <w:r>
        <w:rPr>
          <w:spacing w:val="-3"/>
        </w:rPr>
        <w:t xml:space="preserve">表 </w:t>
      </w:r>
      <w:r>
        <w:t>2</w:t>
      </w:r>
      <w:r>
        <w:rPr>
          <w:spacing w:val="-3"/>
        </w:rPr>
        <w:t xml:space="preserve"> 加工精度要求</w:t>
      </w:r>
    </w:p>
    <w:p>
      <w:pPr>
        <w:pStyle w:val="2"/>
        <w:ind w:firstLine="640"/>
      </w:pPr>
      <w:r>
        <w:rPr>
          <w:rFonts w:hint="eastAsia" w:ascii="仿宋_GB2312" w:eastAsia="仿宋_GB2312"/>
          <w:sz w:val="32"/>
        </w:rPr>
        <w:drawing>
          <wp:anchor distT="0" distB="0" distL="114300" distR="114300" simplePos="0" relativeHeight="251660288" behindDoc="0" locked="0" layoutInCell="1" allowOverlap="1">
            <wp:simplePos x="0" y="0"/>
            <wp:positionH relativeFrom="column">
              <wp:posOffset>-55245</wp:posOffset>
            </wp:positionH>
            <wp:positionV relativeFrom="paragraph">
              <wp:posOffset>123190</wp:posOffset>
            </wp:positionV>
            <wp:extent cx="5286375" cy="2562860"/>
            <wp:effectExtent l="0" t="0" r="9525" b="8890"/>
            <wp:wrapNone/>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noChangeArrowheads="1"/>
                    </pic:cNvPicPr>
                  </pic:nvPicPr>
                  <pic:blipFill>
                    <a:blip r:embed="rId8" cstate="print"/>
                    <a:srcRect/>
                    <a:stretch>
                      <a:fillRect/>
                    </a:stretch>
                  </pic:blipFill>
                  <pic:spPr>
                    <a:xfrm>
                      <a:off x="0" y="0"/>
                      <a:ext cx="5286375" cy="2562860"/>
                    </a:xfrm>
                    <a:prstGeom prst="rect">
                      <a:avLst/>
                    </a:prstGeom>
                    <a:noFill/>
                    <a:ln w="9525">
                      <a:noFill/>
                      <a:miter lim="800000"/>
                      <a:headEnd/>
                      <a:tailEnd/>
                    </a:ln>
                  </pic:spPr>
                </pic:pic>
              </a:graphicData>
            </a:graphic>
          </wp:anchor>
        </w:drawing>
      </w:r>
    </w:p>
    <w:p>
      <w:pPr>
        <w:pStyle w:val="2"/>
        <w:ind w:firstLine="640"/>
      </w:pPr>
    </w:p>
    <w:p>
      <w:pPr>
        <w:pStyle w:val="2"/>
        <w:ind w:firstLine="640"/>
      </w:pPr>
    </w:p>
    <w:p>
      <w:pPr>
        <w:pStyle w:val="2"/>
        <w:ind w:firstLine="640"/>
      </w:pPr>
    </w:p>
    <w:p>
      <w:pPr>
        <w:pStyle w:val="2"/>
        <w:ind w:firstLine="640"/>
      </w:pPr>
    </w:p>
    <w:p>
      <w:pPr>
        <w:pStyle w:val="2"/>
        <w:ind w:firstLine="640"/>
      </w:pPr>
    </w:p>
    <w:p>
      <w:pPr>
        <w:pStyle w:val="2"/>
        <w:ind w:firstLine="640"/>
      </w:pPr>
      <w:r>
        <w:drawing>
          <wp:anchor distT="0" distB="0" distL="0" distR="0" simplePos="0" relativeHeight="251668480" behindDoc="0" locked="0" layoutInCell="1" allowOverlap="1">
            <wp:simplePos x="0" y="0"/>
            <wp:positionH relativeFrom="column">
              <wp:posOffset>92075</wp:posOffset>
            </wp:positionH>
            <wp:positionV relativeFrom="paragraph">
              <wp:posOffset>55880</wp:posOffset>
            </wp:positionV>
            <wp:extent cx="5324475" cy="6863080"/>
            <wp:effectExtent l="0" t="0" r="9525" b="13970"/>
            <wp:wrapNone/>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noChangeArrowheads="1"/>
                    </pic:cNvPicPr>
                  </pic:nvPicPr>
                  <pic:blipFill>
                    <a:blip r:embed="rId9" cstate="print"/>
                    <a:srcRect/>
                    <a:stretch>
                      <a:fillRect/>
                    </a:stretch>
                  </pic:blipFill>
                  <pic:spPr>
                    <a:xfrm>
                      <a:off x="0" y="0"/>
                      <a:ext cx="5329045" cy="6869335"/>
                    </a:xfrm>
                    <a:prstGeom prst="rect">
                      <a:avLst/>
                    </a:prstGeom>
                    <a:noFill/>
                    <a:ln w="9525">
                      <a:noFill/>
                      <a:miter lim="800000"/>
                      <a:headEnd/>
                      <a:tailEnd/>
                    </a:ln>
                  </pic:spPr>
                </pic:pic>
              </a:graphicData>
            </a:graphic>
          </wp:anchor>
        </w:drawing>
      </w:r>
    </w:p>
    <w:p>
      <w:pPr>
        <w:pStyle w:val="2"/>
        <w:ind w:firstLine="640"/>
      </w:pPr>
    </w:p>
    <w:p>
      <w:pPr>
        <w:pStyle w:val="2"/>
        <w:ind w:firstLine="0" w:firstLineChars="0"/>
        <w:sectPr>
          <w:footerReference r:id="rId4" w:type="default"/>
          <w:pgSz w:w="11910" w:h="16840"/>
          <w:pgMar w:top="2098" w:right="1474" w:bottom="1984" w:left="1587" w:header="720" w:footer="1417" w:gutter="0"/>
          <w:pgBorders>
            <w:top w:val="none" w:sz="0" w:space="0"/>
            <w:left w:val="none" w:sz="0" w:space="0"/>
            <w:bottom w:val="none" w:sz="0" w:space="0"/>
            <w:right w:val="none" w:sz="0" w:space="0"/>
          </w:pgBorders>
          <w:pgNumType w:fmt="decimal" w:start="1"/>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ascii="黑体" w:hAnsi="黑体" w:eastAsia="黑体" w:cs="LinTimes"/>
          <w:sz w:val="28"/>
          <w:szCs w:val="28"/>
        </w:rPr>
        <w:t>六、评分规则</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（一）评分标准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评分标准的制订原则</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参照《数控车工国家职业标准》中关于高级工的要求，结合国家及行业的相关标准、规范要求进行评分，全面评价参赛选手的职业能力，本着“严谨规范、公正公平、可操作性强”的原则制定评分标准。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评分细则(评分指标)</w:t>
      </w:r>
    </w:p>
    <w:tbl>
      <w:tblPr>
        <w:tblStyle w:val="15"/>
        <w:tblW w:w="8736"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1"/>
        <w:gridCol w:w="810"/>
        <w:gridCol w:w="4575"/>
        <w:gridCol w:w="1050"/>
        <w:gridCol w:w="11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191"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b/>
                <w:kern w:val="0"/>
                <w:sz w:val="21"/>
                <w:lang w:eastAsia="en-US"/>
              </w:rPr>
            </w:pPr>
            <w:r>
              <w:rPr>
                <w:b/>
                <w:spacing w:val="-3"/>
                <w:kern w:val="0"/>
                <w:sz w:val="21"/>
                <w:lang w:eastAsia="en-US"/>
              </w:rPr>
              <w:t>一级指标</w:t>
            </w:r>
          </w:p>
        </w:tc>
        <w:tc>
          <w:tcPr>
            <w:tcW w:w="81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b/>
                <w:kern w:val="0"/>
                <w:sz w:val="21"/>
                <w:lang w:eastAsia="en-US"/>
              </w:rPr>
            </w:pPr>
            <w:r>
              <w:rPr>
                <w:b/>
                <w:spacing w:val="-5"/>
                <w:kern w:val="0"/>
                <w:sz w:val="21"/>
                <w:lang w:eastAsia="en-US"/>
              </w:rPr>
              <w:t>比例</w:t>
            </w: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1082"/>
              <w:jc w:val="center"/>
              <w:textAlignment w:val="auto"/>
              <w:rPr>
                <w:b/>
                <w:kern w:val="0"/>
                <w:sz w:val="21"/>
                <w:lang w:eastAsia="en-US"/>
              </w:rPr>
            </w:pPr>
            <w:r>
              <w:rPr>
                <w:b/>
                <w:spacing w:val="-3"/>
                <w:kern w:val="0"/>
                <w:sz w:val="21"/>
                <w:lang w:eastAsia="en-US"/>
              </w:rPr>
              <w:t>二级指标</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b/>
                <w:kern w:val="0"/>
                <w:sz w:val="21"/>
                <w:lang w:eastAsia="en-US"/>
              </w:rPr>
            </w:pPr>
            <w:r>
              <w:rPr>
                <w:b/>
                <w:spacing w:val="-5"/>
                <w:kern w:val="0"/>
                <w:sz w:val="21"/>
                <w:lang w:eastAsia="en-US"/>
              </w:rPr>
              <w:t>比例</w:t>
            </w:r>
          </w:p>
        </w:tc>
        <w:tc>
          <w:tcPr>
            <w:tcW w:w="111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b/>
                <w:kern w:val="0"/>
                <w:sz w:val="21"/>
                <w:lang w:eastAsia="en-US"/>
              </w:rPr>
            </w:pPr>
            <w:r>
              <w:rPr>
                <w:b/>
                <w:spacing w:val="-3"/>
                <w:kern w:val="0"/>
                <w:sz w:val="21"/>
                <w:lang w:eastAsia="en-US"/>
              </w:rPr>
              <w:t>评分方法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191" w:type="dxa"/>
            <w:vMerge w:val="restart"/>
            <w:vAlign w:val="center"/>
          </w:tcPr>
          <w:p>
            <w:pPr>
              <w:keepNext w:val="0"/>
              <w:keepLines w:val="0"/>
              <w:pageBreakBefore w:val="0"/>
              <w:widowControl w:val="0"/>
              <w:tabs>
                <w:tab w:val="left" w:pos="1060"/>
              </w:tabs>
              <w:kinsoku/>
              <w:wordWrap/>
              <w:overflowPunct/>
              <w:topLinePunct w:val="0"/>
              <w:autoSpaceDE w:val="0"/>
              <w:autoSpaceDN w:val="0"/>
              <w:bidi w:val="0"/>
              <w:adjustRightInd/>
              <w:snapToGrid/>
              <w:spacing w:line="280" w:lineRule="exact"/>
              <w:ind w:right="-79" w:rightChars="0"/>
              <w:jc w:val="center"/>
              <w:textAlignment w:val="auto"/>
              <w:rPr>
                <w:kern w:val="0"/>
                <w:sz w:val="21"/>
                <w:lang w:eastAsia="zh-CN"/>
              </w:rPr>
            </w:pPr>
            <w:r>
              <w:rPr>
                <w:rFonts w:hint="eastAsia"/>
                <w:spacing w:val="-4"/>
                <w:kern w:val="0"/>
                <w:sz w:val="21"/>
                <w:lang w:eastAsia="zh-CN"/>
              </w:rPr>
              <w:t>理论知识</w:t>
            </w:r>
          </w:p>
        </w:tc>
        <w:tc>
          <w:tcPr>
            <w:tcW w:w="810"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40" w:rightChars="0"/>
              <w:jc w:val="center"/>
              <w:textAlignment w:val="auto"/>
              <w:rPr>
                <w:kern w:val="0"/>
                <w:sz w:val="21"/>
                <w:lang w:eastAsia="en-US"/>
              </w:rPr>
            </w:pPr>
            <w:r>
              <w:rPr>
                <w:rFonts w:hint="eastAsia"/>
                <w:spacing w:val="-5"/>
                <w:kern w:val="0"/>
                <w:sz w:val="21"/>
                <w:lang w:eastAsia="zh-CN"/>
              </w:rPr>
              <w:t>30</w:t>
            </w:r>
            <w:r>
              <w:rPr>
                <w:spacing w:val="-5"/>
                <w:kern w:val="0"/>
                <w:sz w:val="21"/>
                <w:lang w:eastAsia="en-US"/>
              </w:rPr>
              <w:t>%</w:t>
            </w: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363"/>
              <w:jc w:val="left"/>
              <w:textAlignment w:val="auto"/>
              <w:rPr>
                <w:spacing w:val="-4"/>
                <w:kern w:val="0"/>
                <w:sz w:val="21"/>
                <w:lang w:eastAsia="zh-CN"/>
              </w:rPr>
            </w:pPr>
            <w:r>
              <w:rPr>
                <w:spacing w:val="-4"/>
                <w:kern w:val="0"/>
                <w:sz w:val="21"/>
                <w:lang w:eastAsia="zh-CN"/>
              </w:rPr>
              <w:t>1</w:t>
            </w:r>
            <w:r>
              <w:rPr>
                <w:rFonts w:hint="eastAsia"/>
                <w:spacing w:val="-4"/>
                <w:kern w:val="0"/>
                <w:sz w:val="21"/>
                <w:lang w:eastAsia="zh-CN"/>
              </w:rPr>
              <w:t>、数控车工艺与设备、数控编程知识</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rFonts w:hint="eastAsia"/>
                <w:spacing w:val="-5"/>
                <w:kern w:val="0"/>
                <w:sz w:val="21"/>
                <w:lang w:eastAsia="zh-CN"/>
              </w:rPr>
              <w:t>15</w:t>
            </w:r>
            <w:r>
              <w:rPr>
                <w:spacing w:val="-5"/>
                <w:kern w:val="0"/>
                <w:sz w:val="21"/>
                <w:lang w:eastAsia="zh-CN"/>
              </w:rPr>
              <w:t>%</w:t>
            </w:r>
          </w:p>
        </w:tc>
        <w:tc>
          <w:tcPr>
            <w:tcW w:w="1110"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spacing w:val="-4"/>
                <w:kern w:val="0"/>
                <w:sz w:val="21"/>
                <w:lang w:eastAsia="zh-CN"/>
              </w:rPr>
              <w:t>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1191"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8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65" w:rightChars="0"/>
              <w:jc w:val="left"/>
              <w:textAlignment w:val="auto"/>
              <w:rPr>
                <w:spacing w:val="-4"/>
                <w:kern w:val="0"/>
                <w:sz w:val="21"/>
                <w:lang w:eastAsia="zh-CN"/>
              </w:rPr>
            </w:pPr>
            <w:r>
              <w:rPr>
                <w:spacing w:val="-4"/>
                <w:kern w:val="0"/>
                <w:sz w:val="21"/>
                <w:lang w:eastAsia="zh-CN"/>
              </w:rPr>
              <w:t>2</w:t>
            </w:r>
            <w:r>
              <w:rPr>
                <w:rFonts w:hint="eastAsia"/>
                <w:spacing w:val="-4"/>
                <w:kern w:val="0"/>
                <w:sz w:val="21"/>
                <w:lang w:eastAsia="zh-CN"/>
              </w:rPr>
              <w:t>、专业基础知识，如机械制图、公差配合、金属材料与热处理、工装与刀具、液压与气压、金属加工工艺基础、测量技术等</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rFonts w:hint="eastAsia"/>
                <w:spacing w:val="-5"/>
                <w:kern w:val="0"/>
                <w:sz w:val="21"/>
                <w:lang w:eastAsia="zh-CN"/>
              </w:rPr>
              <w:t>5</w:t>
            </w:r>
            <w:r>
              <w:rPr>
                <w:spacing w:val="-5"/>
                <w:kern w:val="0"/>
                <w:sz w:val="21"/>
                <w:lang w:eastAsia="zh-CN"/>
              </w:rPr>
              <w:t>%</w:t>
            </w:r>
          </w:p>
        </w:tc>
        <w:tc>
          <w:tcPr>
            <w:tcW w:w="11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8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363"/>
              <w:jc w:val="left"/>
              <w:textAlignment w:val="auto"/>
              <w:rPr>
                <w:spacing w:val="-4"/>
                <w:kern w:val="0"/>
                <w:sz w:val="21"/>
                <w:lang w:eastAsia="zh-CN"/>
              </w:rPr>
            </w:pPr>
            <w:r>
              <w:rPr>
                <w:spacing w:val="-4"/>
                <w:kern w:val="0"/>
                <w:sz w:val="21"/>
                <w:lang w:eastAsia="zh-CN"/>
              </w:rPr>
              <w:t>3</w:t>
            </w:r>
            <w:r>
              <w:rPr>
                <w:rFonts w:hint="eastAsia"/>
                <w:spacing w:val="-4"/>
                <w:kern w:val="0"/>
                <w:sz w:val="21"/>
                <w:lang w:eastAsia="zh-CN"/>
              </w:rPr>
              <w:t>、智能制造</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spacing w:val="-5"/>
                <w:kern w:val="0"/>
                <w:sz w:val="21"/>
                <w:lang w:eastAsia="zh-CN"/>
              </w:rPr>
              <w:t>2%</w:t>
            </w:r>
          </w:p>
        </w:tc>
        <w:tc>
          <w:tcPr>
            <w:tcW w:w="11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8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363"/>
              <w:jc w:val="left"/>
              <w:textAlignment w:val="auto"/>
              <w:rPr>
                <w:spacing w:val="-4"/>
                <w:kern w:val="0"/>
                <w:sz w:val="21"/>
                <w:lang w:eastAsia="zh-CN"/>
              </w:rPr>
            </w:pPr>
            <w:r>
              <w:rPr>
                <w:spacing w:val="-4"/>
                <w:kern w:val="0"/>
                <w:sz w:val="21"/>
                <w:lang w:eastAsia="zh-CN"/>
              </w:rPr>
              <w:t>4</w:t>
            </w:r>
            <w:r>
              <w:rPr>
                <w:rFonts w:hint="eastAsia"/>
                <w:spacing w:val="-4"/>
                <w:kern w:val="0"/>
                <w:sz w:val="21"/>
                <w:lang w:eastAsia="zh-CN"/>
              </w:rPr>
              <w:t>、“四新”知识</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spacing w:val="-5"/>
                <w:kern w:val="0"/>
                <w:sz w:val="21"/>
                <w:lang w:eastAsia="zh-CN"/>
              </w:rPr>
              <w:t>3%</w:t>
            </w:r>
          </w:p>
        </w:tc>
        <w:tc>
          <w:tcPr>
            <w:tcW w:w="11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8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363"/>
              <w:jc w:val="left"/>
              <w:textAlignment w:val="auto"/>
              <w:rPr>
                <w:spacing w:val="-4"/>
                <w:kern w:val="0"/>
                <w:sz w:val="21"/>
                <w:lang w:eastAsia="zh-CN"/>
              </w:rPr>
            </w:pPr>
            <w:r>
              <w:rPr>
                <w:spacing w:val="-4"/>
                <w:kern w:val="0"/>
                <w:sz w:val="21"/>
                <w:lang w:eastAsia="zh-CN"/>
              </w:rPr>
              <w:t>5</w:t>
            </w:r>
            <w:r>
              <w:rPr>
                <w:rFonts w:hint="eastAsia"/>
                <w:spacing w:val="-4"/>
                <w:kern w:val="0"/>
                <w:sz w:val="21"/>
                <w:lang w:eastAsia="zh-CN"/>
              </w:rPr>
              <w:t>、质量与现场管理</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zh-CN"/>
              </w:rPr>
            </w:pPr>
            <w:r>
              <w:rPr>
                <w:rFonts w:hint="eastAsia"/>
                <w:spacing w:val="-5"/>
                <w:kern w:val="0"/>
                <w:sz w:val="21"/>
                <w:lang w:eastAsia="zh-CN"/>
              </w:rPr>
              <w:t>3</w:t>
            </w:r>
            <w:r>
              <w:rPr>
                <w:spacing w:val="-5"/>
                <w:kern w:val="0"/>
                <w:sz w:val="21"/>
                <w:lang w:eastAsia="zh-CN"/>
              </w:rPr>
              <w:t>%</w:t>
            </w:r>
          </w:p>
        </w:tc>
        <w:tc>
          <w:tcPr>
            <w:tcW w:w="11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8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zh-CN"/>
              </w:rPr>
            </w:pPr>
          </w:p>
        </w:tc>
        <w:tc>
          <w:tcPr>
            <w:tcW w:w="4575"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363"/>
              <w:jc w:val="left"/>
              <w:textAlignment w:val="auto"/>
              <w:rPr>
                <w:spacing w:val="-4"/>
                <w:kern w:val="0"/>
                <w:sz w:val="21"/>
                <w:lang w:eastAsia="zh-CN"/>
              </w:rPr>
            </w:pPr>
            <w:r>
              <w:rPr>
                <w:spacing w:val="-4"/>
                <w:kern w:val="0"/>
                <w:sz w:val="21"/>
                <w:lang w:eastAsia="zh-CN"/>
              </w:rPr>
              <w:t>6</w:t>
            </w:r>
            <w:r>
              <w:rPr>
                <w:rFonts w:hint="eastAsia"/>
                <w:spacing w:val="-4"/>
                <w:kern w:val="0"/>
                <w:sz w:val="21"/>
                <w:lang w:eastAsia="zh-CN"/>
              </w:rPr>
              <w:t>、安全防护等知识</w:t>
            </w:r>
          </w:p>
        </w:tc>
        <w:tc>
          <w:tcPr>
            <w:tcW w:w="1050" w:type="dxa"/>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en-US"/>
              </w:rPr>
            </w:pPr>
            <w:r>
              <w:rPr>
                <w:rFonts w:hint="eastAsia"/>
                <w:spacing w:val="-5"/>
                <w:kern w:val="0"/>
                <w:sz w:val="21"/>
                <w:lang w:eastAsia="zh-CN"/>
              </w:rPr>
              <w:t>2</w:t>
            </w:r>
            <w:r>
              <w:rPr>
                <w:spacing w:val="-5"/>
                <w:kern w:val="0"/>
                <w:sz w:val="21"/>
                <w:lang w:eastAsia="en-US"/>
              </w:rPr>
              <w:t>%</w:t>
            </w:r>
          </w:p>
        </w:tc>
        <w:tc>
          <w:tcPr>
            <w:tcW w:w="1110"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 w:hRule="atLeast"/>
        </w:trPr>
        <w:tc>
          <w:tcPr>
            <w:tcW w:w="1191" w:type="dxa"/>
            <w:vMerge w:val="restart"/>
            <w:tcBorders>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en-US"/>
              </w:rPr>
            </w:pPr>
            <w:r>
              <w:rPr>
                <w:rFonts w:hint="eastAsia"/>
                <w:spacing w:val="-4"/>
                <w:kern w:val="0"/>
                <w:sz w:val="21"/>
                <w:lang w:eastAsia="zh-CN"/>
              </w:rPr>
              <w:t>单件</w:t>
            </w:r>
            <w:r>
              <w:rPr>
                <w:spacing w:val="-4"/>
                <w:kern w:val="0"/>
                <w:sz w:val="21"/>
                <w:lang w:eastAsia="en-US"/>
              </w:rPr>
              <w:t>加工</w:t>
            </w:r>
          </w:p>
        </w:tc>
        <w:tc>
          <w:tcPr>
            <w:tcW w:w="810" w:type="dxa"/>
            <w:vMerge w:val="restart"/>
            <w:tcBorders>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40" w:rightChars="0"/>
              <w:jc w:val="center"/>
              <w:textAlignment w:val="auto"/>
              <w:rPr>
                <w:kern w:val="0"/>
                <w:sz w:val="21"/>
                <w:lang w:eastAsia="en-US"/>
              </w:rPr>
            </w:pPr>
            <w:r>
              <w:rPr>
                <w:rFonts w:hint="eastAsia"/>
                <w:spacing w:val="-5"/>
                <w:kern w:val="0"/>
                <w:sz w:val="21"/>
                <w:lang w:eastAsia="zh-CN"/>
              </w:rPr>
              <w:t>45</w:t>
            </w:r>
            <w:r>
              <w:rPr>
                <w:spacing w:val="-5"/>
                <w:kern w:val="0"/>
                <w:sz w:val="21"/>
                <w:lang w:eastAsia="en-US"/>
              </w:rPr>
              <w:t>%</w:t>
            </w:r>
          </w:p>
        </w:tc>
        <w:tc>
          <w:tcPr>
            <w:tcW w:w="4575" w:type="dxa"/>
            <w:tcBorders>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416"/>
              <w:jc w:val="left"/>
              <w:textAlignment w:val="auto"/>
              <w:rPr>
                <w:kern w:val="0"/>
                <w:sz w:val="21"/>
                <w:lang w:eastAsia="zh-CN"/>
              </w:rPr>
            </w:pPr>
            <w:r>
              <w:rPr>
                <w:spacing w:val="-2"/>
                <w:kern w:val="0"/>
                <w:sz w:val="21"/>
                <w:lang w:eastAsia="zh-CN"/>
              </w:rPr>
              <w:t>1</w:t>
            </w:r>
            <w:r>
              <w:rPr>
                <w:rFonts w:hint="eastAsia"/>
                <w:spacing w:val="-2"/>
                <w:kern w:val="0"/>
                <w:sz w:val="21"/>
                <w:lang w:eastAsia="zh-CN"/>
              </w:rPr>
              <w:t>、</w:t>
            </w:r>
            <w:r>
              <w:rPr>
                <w:spacing w:val="-2"/>
                <w:kern w:val="0"/>
                <w:sz w:val="21"/>
                <w:lang w:eastAsia="zh-CN"/>
              </w:rPr>
              <w:t>尺寸精度、表面粗糙度、几何精度（具体见样题评</w:t>
            </w:r>
          </w:p>
          <w:p>
            <w:pPr>
              <w:keepNext w:val="0"/>
              <w:keepLines w:val="0"/>
              <w:pageBreakBefore w:val="0"/>
              <w:widowControl w:val="0"/>
              <w:kinsoku/>
              <w:wordWrap/>
              <w:overflowPunct/>
              <w:topLinePunct w:val="0"/>
              <w:autoSpaceDE w:val="0"/>
              <w:autoSpaceDN w:val="0"/>
              <w:bidi w:val="0"/>
              <w:adjustRightInd/>
              <w:snapToGrid/>
              <w:spacing w:line="280" w:lineRule="exact"/>
              <w:ind w:left="108"/>
              <w:jc w:val="left"/>
              <w:textAlignment w:val="auto"/>
              <w:rPr>
                <w:kern w:val="0"/>
                <w:sz w:val="21"/>
                <w:lang w:eastAsia="en-US"/>
              </w:rPr>
            </w:pPr>
            <w:r>
              <w:rPr>
                <w:kern w:val="0"/>
                <w:sz w:val="21"/>
                <w:lang w:eastAsia="en-US"/>
              </w:rPr>
              <w:t>分表</w:t>
            </w:r>
            <w:r>
              <w:rPr>
                <w:spacing w:val="-10"/>
                <w:kern w:val="0"/>
                <w:sz w:val="21"/>
                <w:lang w:eastAsia="en-US"/>
              </w:rPr>
              <w:t>）</w:t>
            </w:r>
          </w:p>
        </w:tc>
        <w:tc>
          <w:tcPr>
            <w:tcW w:w="1050" w:type="dxa"/>
            <w:tcBorders>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en-US"/>
              </w:rPr>
            </w:pPr>
            <w:r>
              <w:rPr>
                <w:rFonts w:hint="eastAsia"/>
                <w:spacing w:val="-5"/>
                <w:kern w:val="0"/>
                <w:sz w:val="21"/>
                <w:lang w:eastAsia="zh-CN"/>
              </w:rPr>
              <w:t>3</w:t>
            </w:r>
            <w:r>
              <w:rPr>
                <w:spacing w:val="-5"/>
                <w:kern w:val="0"/>
                <w:sz w:val="21"/>
                <w:lang w:eastAsia="en-US"/>
              </w:rPr>
              <w:t>5%</w:t>
            </w:r>
          </w:p>
        </w:tc>
        <w:tc>
          <w:tcPr>
            <w:tcW w:w="1110" w:type="dxa"/>
            <w:vMerge w:val="restart"/>
            <w:tcBorders>
              <w:bottom w:val="single" w:color="000000" w:sz="4" w:space="0"/>
            </w:tcBorders>
            <w:vAlign w:val="center"/>
          </w:tcPr>
          <w:p>
            <w:pPr>
              <w:autoSpaceDE w:val="0"/>
              <w:autoSpaceDN w:val="0"/>
              <w:rPr>
                <w:kern w:val="0"/>
                <w:sz w:val="20"/>
                <w:lang w:eastAsia="en-US"/>
              </w:rPr>
            </w:pPr>
          </w:p>
          <w:p>
            <w:pPr>
              <w:autoSpaceDE w:val="0"/>
              <w:autoSpaceDN w:val="0"/>
              <w:rPr>
                <w:kern w:val="0"/>
                <w:sz w:val="20"/>
                <w:lang w:eastAsia="en-US"/>
              </w:rPr>
            </w:pPr>
          </w:p>
          <w:p>
            <w:pPr>
              <w:autoSpaceDE w:val="0"/>
              <w:autoSpaceDN w:val="0"/>
              <w:rPr>
                <w:kern w:val="0"/>
                <w:sz w:val="20"/>
                <w:lang w:eastAsia="en-US"/>
              </w:rPr>
            </w:pPr>
          </w:p>
          <w:p>
            <w:pPr>
              <w:autoSpaceDE w:val="0"/>
              <w:autoSpaceDN w:val="0"/>
              <w:rPr>
                <w:kern w:val="0"/>
                <w:sz w:val="20"/>
                <w:lang w:eastAsia="en-US"/>
              </w:rPr>
            </w:pPr>
          </w:p>
          <w:p>
            <w:pPr>
              <w:autoSpaceDE w:val="0"/>
              <w:autoSpaceDN w:val="0"/>
              <w:spacing w:before="10"/>
              <w:rPr>
                <w:kern w:val="0"/>
                <w:sz w:val="26"/>
                <w:lang w:eastAsia="en-US"/>
              </w:rPr>
            </w:pPr>
          </w:p>
          <w:p>
            <w:pPr>
              <w:autoSpaceDE w:val="0"/>
              <w:autoSpaceDN w:val="0"/>
              <w:spacing w:before="1"/>
              <w:jc w:val="center"/>
              <w:rPr>
                <w:rFonts w:ascii="Calibri" w:hAnsi="Calibri" w:eastAsia="宋体" w:cs="Times New Roman"/>
                <w:kern w:val="0"/>
                <w:sz w:val="21"/>
                <w:szCs w:val="24"/>
                <w:lang w:val="en-US" w:eastAsia="en-US" w:bidi="ar-SA"/>
              </w:rPr>
            </w:pPr>
            <w:r>
              <w:rPr>
                <w:spacing w:val="-4"/>
                <w:kern w:val="0"/>
                <w:sz w:val="21"/>
                <w:lang w:eastAsia="en-US"/>
              </w:rPr>
              <w:t>过程评分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191"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c>
          <w:tcPr>
            <w:tcW w:w="810"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c>
          <w:tcPr>
            <w:tcW w:w="45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625"/>
              <w:jc w:val="left"/>
              <w:textAlignment w:val="auto"/>
              <w:rPr>
                <w:kern w:val="0"/>
                <w:sz w:val="21"/>
                <w:lang w:eastAsia="zh-CN"/>
              </w:rPr>
            </w:pPr>
            <w:r>
              <w:rPr>
                <w:spacing w:val="-2"/>
                <w:kern w:val="0"/>
                <w:sz w:val="21"/>
                <w:lang w:eastAsia="zh-CN"/>
              </w:rPr>
              <w:t>2</w:t>
            </w:r>
            <w:r>
              <w:rPr>
                <w:rFonts w:hint="eastAsia"/>
                <w:spacing w:val="-2"/>
                <w:kern w:val="0"/>
                <w:sz w:val="21"/>
                <w:lang w:eastAsia="zh-CN"/>
              </w:rPr>
              <w:t>、</w:t>
            </w:r>
            <w:r>
              <w:rPr>
                <w:spacing w:val="-2"/>
                <w:kern w:val="0"/>
                <w:sz w:val="21"/>
                <w:lang w:eastAsia="zh-CN"/>
              </w:rPr>
              <w:t>赛件检测（具体见样题</w:t>
            </w:r>
            <w:r>
              <w:rPr>
                <w:spacing w:val="-4"/>
                <w:kern w:val="0"/>
                <w:sz w:val="21"/>
                <w:lang w:eastAsia="zh-CN"/>
              </w:rPr>
              <w:t>评分表）</w:t>
            </w:r>
          </w:p>
        </w:tc>
        <w:tc>
          <w:tcPr>
            <w:tcW w:w="105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en-US"/>
              </w:rPr>
            </w:pPr>
            <w:r>
              <w:rPr>
                <w:spacing w:val="-5"/>
                <w:kern w:val="0"/>
                <w:sz w:val="21"/>
                <w:lang w:eastAsia="en-US"/>
              </w:rPr>
              <w:t>5%</w:t>
            </w:r>
          </w:p>
        </w:tc>
        <w:tc>
          <w:tcPr>
            <w:tcW w:w="1110"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191"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c>
          <w:tcPr>
            <w:tcW w:w="810"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c>
          <w:tcPr>
            <w:tcW w:w="45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625"/>
              <w:jc w:val="left"/>
              <w:textAlignment w:val="auto"/>
              <w:rPr>
                <w:kern w:val="0"/>
                <w:sz w:val="21"/>
                <w:lang w:eastAsia="zh-CN"/>
              </w:rPr>
            </w:pPr>
            <w:r>
              <w:rPr>
                <w:spacing w:val="-2"/>
                <w:kern w:val="0"/>
                <w:sz w:val="21"/>
                <w:lang w:eastAsia="zh-CN"/>
              </w:rPr>
              <w:t>3</w:t>
            </w:r>
            <w:r>
              <w:rPr>
                <w:rFonts w:hint="eastAsia"/>
                <w:spacing w:val="-2"/>
                <w:kern w:val="0"/>
                <w:sz w:val="21"/>
                <w:lang w:eastAsia="zh-CN"/>
              </w:rPr>
              <w:t>、</w:t>
            </w:r>
            <w:r>
              <w:rPr>
                <w:spacing w:val="-2"/>
                <w:kern w:val="0"/>
                <w:sz w:val="21"/>
                <w:lang w:eastAsia="zh-CN"/>
              </w:rPr>
              <w:t>赛件外观（具体见样题</w:t>
            </w:r>
            <w:r>
              <w:rPr>
                <w:spacing w:val="-4"/>
                <w:kern w:val="0"/>
                <w:sz w:val="21"/>
                <w:lang w:eastAsia="zh-CN"/>
              </w:rPr>
              <w:t>评分表）</w:t>
            </w:r>
          </w:p>
        </w:tc>
        <w:tc>
          <w:tcPr>
            <w:tcW w:w="105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1"/>
                <w:lang w:eastAsia="en-US"/>
              </w:rPr>
            </w:pPr>
            <w:r>
              <w:rPr>
                <w:spacing w:val="-5"/>
                <w:kern w:val="0"/>
                <w:sz w:val="21"/>
                <w:lang w:eastAsia="en-US"/>
              </w:rPr>
              <w:t>5%</w:t>
            </w:r>
          </w:p>
        </w:tc>
        <w:tc>
          <w:tcPr>
            <w:tcW w:w="1110"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kern w:val="0"/>
                <w:sz w:val="2"/>
                <w:szCs w:val="2"/>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1191" w:type="dxa"/>
            <w:tcBorders>
              <w:top w:val="single" w:color="000000" w:sz="4" w:space="0"/>
              <w:bottom w:val="single" w:color="000000" w:sz="4" w:space="0"/>
            </w:tcBorders>
            <w:vAlign w:val="center"/>
          </w:tcPr>
          <w:p>
            <w:pPr>
              <w:autoSpaceDE w:val="0"/>
              <w:autoSpaceDN w:val="0"/>
              <w:jc w:val="center"/>
              <w:rPr>
                <w:spacing w:val="-4"/>
                <w:kern w:val="0"/>
                <w:sz w:val="21"/>
                <w:lang w:eastAsia="en-US"/>
              </w:rPr>
            </w:pPr>
            <w:r>
              <w:rPr>
                <w:spacing w:val="-4"/>
                <w:kern w:val="0"/>
                <w:sz w:val="21"/>
                <w:lang w:eastAsia="en-US"/>
              </w:rPr>
              <w:t>批量赛件</w:t>
            </w:r>
          </w:p>
          <w:p>
            <w:pPr>
              <w:autoSpaceDE w:val="0"/>
              <w:autoSpaceDN w:val="0"/>
              <w:jc w:val="center"/>
              <w:rPr>
                <w:rFonts w:ascii="Calibri" w:hAnsi="Calibri" w:eastAsia="宋体" w:cs="Times New Roman"/>
                <w:kern w:val="0"/>
                <w:sz w:val="21"/>
                <w:szCs w:val="24"/>
                <w:lang w:val="en-US" w:eastAsia="en-US" w:bidi="ar-SA"/>
              </w:rPr>
            </w:pPr>
            <w:r>
              <w:rPr>
                <w:spacing w:val="-4"/>
                <w:kern w:val="0"/>
                <w:sz w:val="21"/>
                <w:lang w:eastAsia="en-US"/>
              </w:rPr>
              <w:t>加工</w:t>
            </w:r>
          </w:p>
        </w:tc>
        <w:tc>
          <w:tcPr>
            <w:tcW w:w="810" w:type="dxa"/>
            <w:tcBorders>
              <w:top w:val="single" w:color="000000" w:sz="4" w:space="0"/>
              <w:bottom w:val="single" w:color="000000" w:sz="4" w:space="0"/>
            </w:tcBorders>
            <w:vAlign w:val="center"/>
          </w:tcPr>
          <w:p>
            <w:pPr>
              <w:autoSpaceDE w:val="0"/>
              <w:autoSpaceDN w:val="0"/>
              <w:ind w:right="-48" w:rightChars="0"/>
              <w:jc w:val="center"/>
              <w:rPr>
                <w:rFonts w:ascii="Calibri" w:hAnsi="Calibri" w:eastAsia="宋体" w:cs="Times New Roman"/>
                <w:kern w:val="0"/>
                <w:sz w:val="21"/>
                <w:szCs w:val="24"/>
                <w:lang w:val="en-US" w:eastAsia="en-US" w:bidi="ar-SA"/>
              </w:rPr>
            </w:pPr>
            <w:r>
              <w:rPr>
                <w:spacing w:val="-5"/>
                <w:kern w:val="0"/>
                <w:sz w:val="21"/>
                <w:lang w:eastAsia="en-US"/>
              </w:rPr>
              <w:t>10%</w:t>
            </w:r>
          </w:p>
        </w:tc>
        <w:tc>
          <w:tcPr>
            <w:tcW w:w="4575" w:type="dxa"/>
            <w:tcBorders>
              <w:top w:val="single" w:color="000000" w:sz="4" w:space="0"/>
              <w:bottom w:val="single" w:color="000000" w:sz="4" w:space="0"/>
            </w:tcBorders>
            <w:vAlign w:val="center"/>
          </w:tcPr>
          <w:p>
            <w:pPr>
              <w:autoSpaceDE w:val="0"/>
              <w:autoSpaceDN w:val="0"/>
              <w:rPr>
                <w:kern w:val="0"/>
                <w:sz w:val="21"/>
                <w:lang w:eastAsia="zh-CN"/>
              </w:rPr>
            </w:pPr>
            <w:r>
              <w:rPr>
                <w:spacing w:val="-2"/>
                <w:kern w:val="0"/>
                <w:sz w:val="21"/>
                <w:lang w:eastAsia="zh-CN"/>
              </w:rPr>
              <w:t>1</w:t>
            </w:r>
            <w:r>
              <w:rPr>
                <w:rFonts w:hint="eastAsia"/>
                <w:spacing w:val="-2"/>
                <w:kern w:val="0"/>
                <w:sz w:val="21"/>
                <w:lang w:eastAsia="zh-CN"/>
              </w:rPr>
              <w:t>、</w:t>
            </w:r>
            <w:r>
              <w:rPr>
                <w:spacing w:val="-2"/>
                <w:kern w:val="0"/>
                <w:sz w:val="21"/>
                <w:lang w:eastAsia="zh-CN"/>
              </w:rPr>
              <w:t>赛件检测（</w:t>
            </w:r>
            <w:r>
              <w:rPr>
                <w:spacing w:val="-4"/>
                <w:kern w:val="0"/>
                <w:sz w:val="21"/>
                <w:lang w:eastAsia="zh-CN"/>
              </w:rPr>
              <w:t>具体见样题</w:t>
            </w:r>
          </w:p>
          <w:p>
            <w:pPr>
              <w:autoSpaceDE w:val="0"/>
              <w:autoSpaceDN w:val="0"/>
              <w:ind w:left="108" w:leftChars="0"/>
              <w:rPr>
                <w:rFonts w:ascii="Calibri" w:hAnsi="Calibri" w:eastAsia="宋体" w:cs="Times New Roman"/>
                <w:kern w:val="0"/>
                <w:sz w:val="21"/>
                <w:szCs w:val="24"/>
                <w:lang w:val="en-US" w:eastAsia="zh-CN" w:bidi="ar-SA"/>
              </w:rPr>
            </w:pPr>
            <w:r>
              <w:rPr>
                <w:spacing w:val="-2"/>
                <w:kern w:val="0"/>
                <w:sz w:val="21"/>
                <w:lang w:eastAsia="zh-CN"/>
              </w:rPr>
              <w:t>评分表</w:t>
            </w:r>
            <w:r>
              <w:rPr>
                <w:spacing w:val="-10"/>
                <w:kern w:val="0"/>
                <w:sz w:val="21"/>
                <w:lang w:eastAsia="zh-CN"/>
              </w:rPr>
              <w:t>）</w:t>
            </w:r>
          </w:p>
        </w:tc>
        <w:tc>
          <w:tcPr>
            <w:tcW w:w="1050" w:type="dxa"/>
            <w:tcBorders>
              <w:top w:val="single" w:color="000000" w:sz="4" w:space="0"/>
              <w:bottom w:val="single" w:color="000000" w:sz="4" w:space="0"/>
            </w:tcBorders>
            <w:vAlign w:val="center"/>
          </w:tcPr>
          <w:p>
            <w:pPr>
              <w:tabs>
                <w:tab w:val="left" w:pos="1060"/>
              </w:tabs>
              <w:autoSpaceDE w:val="0"/>
              <w:autoSpaceDN w:val="0"/>
              <w:ind w:right="-20" w:rightChars="0"/>
              <w:jc w:val="center"/>
              <w:rPr>
                <w:rFonts w:ascii="Calibri" w:hAnsi="Calibri" w:eastAsia="宋体" w:cs="Times New Roman"/>
                <w:kern w:val="0"/>
                <w:sz w:val="21"/>
                <w:szCs w:val="24"/>
                <w:lang w:val="en-US" w:eastAsia="en-US" w:bidi="ar-SA"/>
              </w:rPr>
            </w:pPr>
            <w:r>
              <w:rPr>
                <w:spacing w:val="-5"/>
                <w:kern w:val="0"/>
                <w:sz w:val="21"/>
                <w:lang w:eastAsia="en-US"/>
              </w:rPr>
              <w:t>10%</w:t>
            </w:r>
          </w:p>
        </w:tc>
        <w:tc>
          <w:tcPr>
            <w:tcW w:w="1110" w:type="dxa"/>
            <w:vMerge w:val="continue"/>
            <w:tcBorders>
              <w:top w:val="single" w:color="000000" w:sz="4" w:space="0"/>
              <w:bottom w:val="single" w:color="000000" w:sz="4" w:space="0"/>
            </w:tcBorders>
            <w:vAlign w:val="center"/>
          </w:tcPr>
          <w:p>
            <w:pPr>
              <w:autoSpaceDE w:val="0"/>
              <w:autoSpaceDN w:val="0"/>
              <w:jc w:val="center"/>
              <w:rPr>
                <w:rFonts w:ascii="Calibri" w:hAnsi="Calibri" w:eastAsia="宋体" w:cs="Times New Roman"/>
                <w:kern w:val="0"/>
                <w:sz w:val="21"/>
                <w:szCs w:val="24"/>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1191" w:type="dxa"/>
            <w:tcBorders>
              <w:top w:val="single" w:color="000000" w:sz="4" w:space="0"/>
              <w:bottom w:val="single" w:color="000000" w:sz="4" w:space="0"/>
            </w:tcBorders>
            <w:vAlign w:val="center"/>
          </w:tcPr>
          <w:p>
            <w:pPr>
              <w:autoSpaceDE w:val="0"/>
              <w:autoSpaceDN w:val="0"/>
              <w:spacing w:before="8"/>
              <w:jc w:val="center"/>
              <w:rPr>
                <w:rFonts w:ascii="Calibri" w:hAnsi="Calibri" w:eastAsia="宋体" w:cs="Times New Roman"/>
                <w:kern w:val="0"/>
                <w:sz w:val="18"/>
                <w:szCs w:val="24"/>
                <w:lang w:val="en-US" w:eastAsia="en-US" w:bidi="ar-SA"/>
              </w:rPr>
            </w:pPr>
            <w:r>
              <w:rPr>
                <w:rFonts w:hint="eastAsia"/>
                <w:kern w:val="0"/>
                <w:sz w:val="18"/>
                <w:lang w:eastAsia="en-US"/>
              </w:rPr>
              <w:t>装配</w:t>
            </w:r>
          </w:p>
        </w:tc>
        <w:tc>
          <w:tcPr>
            <w:tcW w:w="810" w:type="dxa"/>
            <w:tcBorders>
              <w:top w:val="single" w:color="000000" w:sz="4" w:space="0"/>
              <w:bottom w:val="single" w:color="000000" w:sz="4" w:space="0"/>
            </w:tcBorders>
            <w:vAlign w:val="center"/>
          </w:tcPr>
          <w:p>
            <w:pPr>
              <w:autoSpaceDE w:val="0"/>
              <w:autoSpaceDN w:val="0"/>
              <w:jc w:val="center"/>
              <w:rPr>
                <w:rFonts w:ascii="Calibri" w:hAnsi="Calibri" w:eastAsia="宋体" w:cs="Times New Roman"/>
                <w:kern w:val="0"/>
                <w:sz w:val="18"/>
                <w:szCs w:val="24"/>
                <w:lang w:val="en-US" w:eastAsia="en-US" w:bidi="ar-SA"/>
              </w:rPr>
            </w:pPr>
            <w:r>
              <w:rPr>
                <w:rFonts w:hint="eastAsia"/>
                <w:kern w:val="0"/>
                <w:sz w:val="18"/>
                <w:lang w:eastAsia="zh-CN"/>
              </w:rPr>
              <w:t>10</w:t>
            </w:r>
            <w:r>
              <w:rPr>
                <w:kern w:val="0"/>
                <w:sz w:val="18"/>
                <w:lang w:eastAsia="en-US"/>
              </w:rPr>
              <w:t>%</w:t>
            </w:r>
          </w:p>
        </w:tc>
        <w:tc>
          <w:tcPr>
            <w:tcW w:w="4575" w:type="dxa"/>
            <w:tcBorders>
              <w:top w:val="single" w:color="000000" w:sz="4" w:space="0"/>
              <w:bottom w:val="single" w:color="000000" w:sz="4" w:space="0"/>
            </w:tcBorders>
            <w:vAlign w:val="center"/>
          </w:tcPr>
          <w:p>
            <w:pPr>
              <w:autoSpaceDE w:val="0"/>
              <w:autoSpaceDN w:val="0"/>
              <w:jc w:val="both"/>
              <w:rPr>
                <w:rFonts w:ascii="Calibri" w:hAnsi="Calibri" w:eastAsia="宋体" w:cs="Times New Roman"/>
                <w:kern w:val="0"/>
                <w:sz w:val="21"/>
                <w:szCs w:val="24"/>
                <w:lang w:val="en-US" w:eastAsia="zh-CN" w:bidi="ar-SA"/>
              </w:rPr>
            </w:pPr>
            <w:r>
              <w:rPr>
                <w:spacing w:val="-2"/>
                <w:kern w:val="0"/>
                <w:sz w:val="21"/>
                <w:lang w:eastAsia="zh-CN"/>
              </w:rPr>
              <w:t>1</w:t>
            </w:r>
            <w:r>
              <w:rPr>
                <w:rFonts w:hint="eastAsia"/>
                <w:spacing w:val="-2"/>
                <w:kern w:val="0"/>
                <w:sz w:val="21"/>
                <w:lang w:eastAsia="zh-CN"/>
              </w:rPr>
              <w:t>、</w:t>
            </w:r>
            <w:r>
              <w:rPr>
                <w:spacing w:val="-2"/>
                <w:kern w:val="0"/>
                <w:sz w:val="21"/>
                <w:lang w:eastAsia="zh-CN"/>
              </w:rPr>
              <w:t>赛件</w:t>
            </w:r>
            <w:r>
              <w:rPr>
                <w:rFonts w:hint="eastAsia"/>
                <w:spacing w:val="-2"/>
                <w:kern w:val="0"/>
                <w:sz w:val="21"/>
                <w:lang w:eastAsia="zh-CN"/>
              </w:rPr>
              <w:t>装配</w:t>
            </w:r>
            <w:r>
              <w:rPr>
                <w:spacing w:val="-2"/>
                <w:kern w:val="0"/>
                <w:sz w:val="21"/>
                <w:lang w:eastAsia="zh-CN"/>
              </w:rPr>
              <w:t>（</w:t>
            </w:r>
            <w:r>
              <w:rPr>
                <w:spacing w:val="-4"/>
                <w:kern w:val="0"/>
                <w:sz w:val="21"/>
                <w:lang w:eastAsia="zh-CN"/>
              </w:rPr>
              <w:t>具体见样题</w:t>
            </w:r>
            <w:r>
              <w:rPr>
                <w:spacing w:val="-2"/>
                <w:kern w:val="0"/>
                <w:sz w:val="21"/>
                <w:lang w:eastAsia="zh-CN"/>
              </w:rPr>
              <w:t>评分表</w:t>
            </w:r>
            <w:r>
              <w:rPr>
                <w:spacing w:val="-10"/>
                <w:kern w:val="0"/>
                <w:sz w:val="21"/>
                <w:lang w:eastAsia="zh-CN"/>
              </w:rPr>
              <w:t>）</w:t>
            </w:r>
          </w:p>
        </w:tc>
        <w:tc>
          <w:tcPr>
            <w:tcW w:w="1050" w:type="dxa"/>
            <w:tcBorders>
              <w:top w:val="single" w:color="000000" w:sz="4" w:space="0"/>
              <w:bottom w:val="single" w:color="000000" w:sz="4" w:space="0"/>
            </w:tcBorders>
            <w:vAlign w:val="center"/>
          </w:tcPr>
          <w:p>
            <w:pPr>
              <w:tabs>
                <w:tab w:val="left" w:pos="1060"/>
              </w:tabs>
              <w:autoSpaceDE w:val="0"/>
              <w:autoSpaceDN w:val="0"/>
              <w:ind w:right="-20" w:rightChars="0"/>
              <w:jc w:val="center"/>
              <w:rPr>
                <w:rFonts w:ascii="Calibri" w:hAnsi="Calibri" w:eastAsia="宋体" w:cs="Times New Roman"/>
                <w:kern w:val="0"/>
                <w:sz w:val="21"/>
                <w:szCs w:val="24"/>
                <w:lang w:val="en-US" w:eastAsia="en-US" w:bidi="ar-SA"/>
              </w:rPr>
            </w:pPr>
            <w:r>
              <w:rPr>
                <w:spacing w:val="-5"/>
                <w:kern w:val="0"/>
                <w:sz w:val="21"/>
                <w:lang w:eastAsia="en-US"/>
              </w:rPr>
              <w:t>10%</w:t>
            </w:r>
          </w:p>
        </w:tc>
        <w:tc>
          <w:tcPr>
            <w:tcW w:w="1110" w:type="dxa"/>
            <w:vMerge w:val="continue"/>
            <w:tcBorders>
              <w:top w:val="single" w:color="000000" w:sz="4" w:space="0"/>
              <w:bottom w:val="single" w:color="000000" w:sz="4" w:space="0"/>
            </w:tcBorders>
            <w:vAlign w:val="center"/>
          </w:tcPr>
          <w:p>
            <w:pPr>
              <w:autoSpaceDE w:val="0"/>
              <w:autoSpaceDN w:val="0"/>
              <w:jc w:val="center"/>
              <w:rPr>
                <w:rFonts w:ascii="Calibri" w:hAnsi="Calibri" w:eastAsia="宋体" w:cs="Times New Roman"/>
                <w:kern w:val="0"/>
                <w:sz w:val="21"/>
                <w:szCs w:val="24"/>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restart"/>
            <w:tcBorders>
              <w:top w:val="single" w:color="000000" w:sz="4" w:space="0"/>
              <w:bottom w:val="single" w:color="000000" w:sz="4" w:space="0"/>
            </w:tcBorders>
            <w:vAlign w:val="center"/>
          </w:tcPr>
          <w:p>
            <w:pPr>
              <w:autoSpaceDE w:val="0"/>
              <w:autoSpaceDN w:val="0"/>
              <w:spacing w:before="8"/>
              <w:jc w:val="center"/>
              <w:rPr>
                <w:rFonts w:hint="eastAsia"/>
                <w:kern w:val="0"/>
                <w:sz w:val="18"/>
                <w:lang w:eastAsia="en-US"/>
              </w:rPr>
            </w:pPr>
          </w:p>
        </w:tc>
        <w:tc>
          <w:tcPr>
            <w:tcW w:w="810" w:type="dxa"/>
            <w:vMerge w:val="restart"/>
            <w:tcBorders>
              <w:top w:val="single" w:color="000000" w:sz="4" w:space="0"/>
              <w:bottom w:val="single" w:color="000000" w:sz="4" w:space="0"/>
            </w:tcBorders>
            <w:vAlign w:val="center"/>
          </w:tcPr>
          <w:p>
            <w:pPr>
              <w:autoSpaceDE w:val="0"/>
              <w:autoSpaceDN w:val="0"/>
              <w:spacing w:before="1"/>
              <w:ind w:right="-48" w:rightChars="0"/>
              <w:jc w:val="center"/>
              <w:rPr>
                <w:rFonts w:hint="eastAsia" w:ascii="Calibri" w:hAnsi="Calibri" w:eastAsia="宋体" w:cs="Times New Roman"/>
                <w:kern w:val="0"/>
                <w:sz w:val="21"/>
                <w:szCs w:val="24"/>
                <w:lang w:val="en-US" w:eastAsia="zh-CN" w:bidi="ar-SA"/>
              </w:rPr>
            </w:pPr>
            <w:r>
              <w:rPr>
                <w:spacing w:val="-5"/>
                <w:kern w:val="0"/>
                <w:sz w:val="21"/>
                <w:lang w:eastAsia="en-US"/>
              </w:rPr>
              <w:t>5%</w:t>
            </w:r>
          </w:p>
        </w:tc>
        <w:tc>
          <w:tcPr>
            <w:tcW w:w="45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left"/>
              <w:textAlignment w:val="auto"/>
              <w:rPr>
                <w:rFonts w:ascii="Calibri" w:hAnsi="Calibri" w:eastAsia="宋体" w:cs="Times New Roman"/>
                <w:kern w:val="0"/>
                <w:sz w:val="21"/>
                <w:szCs w:val="24"/>
                <w:lang w:val="en-US" w:eastAsia="zh-CN" w:bidi="ar-SA"/>
              </w:rPr>
            </w:pPr>
            <w:r>
              <w:rPr>
                <w:spacing w:val="-2"/>
                <w:kern w:val="0"/>
                <w:sz w:val="21"/>
                <w:lang w:eastAsia="zh-CN"/>
              </w:rPr>
              <w:t>1</w:t>
            </w:r>
            <w:r>
              <w:rPr>
                <w:rFonts w:hint="eastAsia"/>
                <w:spacing w:val="-2"/>
                <w:kern w:val="0"/>
                <w:sz w:val="21"/>
                <w:lang w:eastAsia="zh-CN"/>
              </w:rPr>
              <w:t>、</w:t>
            </w:r>
            <w:r>
              <w:rPr>
                <w:spacing w:val="-3"/>
                <w:kern w:val="0"/>
                <w:sz w:val="21"/>
                <w:lang w:eastAsia="zh-CN"/>
              </w:rPr>
              <w:t>工具、量具、刃具摆放</w:t>
            </w:r>
          </w:p>
        </w:tc>
        <w:tc>
          <w:tcPr>
            <w:tcW w:w="1050" w:type="dxa"/>
            <w:tcBorders>
              <w:top w:val="single" w:color="000000" w:sz="4" w:space="0"/>
              <w:bottom w:val="single" w:color="000000" w:sz="4" w:space="0"/>
            </w:tcBorders>
            <w:vAlign w:val="center"/>
          </w:tcPr>
          <w:p>
            <w:pPr>
              <w:tabs>
                <w:tab w:val="left" w:pos="1060"/>
              </w:tabs>
              <w:autoSpaceDE w:val="0"/>
              <w:autoSpaceDN w:val="0"/>
              <w:spacing w:before="1"/>
              <w:ind w:right="-20" w:rightChars="0"/>
              <w:jc w:val="center"/>
              <w:rPr>
                <w:rFonts w:ascii="Calibri" w:hAnsi="Calibri" w:eastAsia="宋体" w:cs="Times New Roman"/>
                <w:kern w:val="0"/>
                <w:sz w:val="21"/>
                <w:szCs w:val="24"/>
                <w:lang w:val="en-US" w:eastAsia="en-US" w:bidi="ar-SA"/>
              </w:rPr>
            </w:pPr>
            <w:r>
              <w:rPr>
                <w:spacing w:val="-5"/>
                <w:kern w:val="0"/>
                <w:sz w:val="21"/>
                <w:lang w:eastAsia="en-US"/>
              </w:rPr>
              <w:t>2%</w:t>
            </w:r>
          </w:p>
        </w:tc>
        <w:tc>
          <w:tcPr>
            <w:tcW w:w="1110" w:type="dxa"/>
            <w:vMerge w:val="continue"/>
            <w:tcBorders>
              <w:top w:val="single" w:color="000000" w:sz="4" w:space="0"/>
              <w:bottom w:val="single" w:color="000000" w:sz="4" w:space="0"/>
            </w:tcBorders>
            <w:vAlign w:val="top"/>
          </w:tcPr>
          <w:p>
            <w:pPr>
              <w:autoSpaceDE w:val="0"/>
              <w:autoSpaceDN w:val="0"/>
              <w:spacing w:before="1"/>
              <w:jc w:val="center"/>
              <w:rPr>
                <w:rFonts w:ascii="Calibri" w:hAnsi="Calibri" w:eastAsia="宋体" w:cs="Times New Roman"/>
                <w:kern w:val="0"/>
                <w:sz w:val="21"/>
                <w:szCs w:val="24"/>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single" w:color="000000" w:sz="4" w:space="0"/>
              <w:bottom w:val="single" w:color="000000" w:sz="4" w:space="0"/>
            </w:tcBorders>
            <w:vAlign w:val="center"/>
          </w:tcPr>
          <w:p>
            <w:pPr>
              <w:autoSpaceDE w:val="0"/>
              <w:autoSpaceDN w:val="0"/>
              <w:spacing w:before="8"/>
              <w:jc w:val="center"/>
              <w:rPr>
                <w:rFonts w:hint="eastAsia"/>
                <w:kern w:val="0"/>
                <w:sz w:val="18"/>
                <w:lang w:eastAsia="en-US"/>
              </w:rPr>
            </w:pPr>
          </w:p>
        </w:tc>
        <w:tc>
          <w:tcPr>
            <w:tcW w:w="810" w:type="dxa"/>
            <w:vMerge w:val="continue"/>
            <w:tcBorders>
              <w:top w:val="single" w:color="000000" w:sz="4" w:space="0"/>
              <w:bottom w:val="single" w:color="000000" w:sz="4" w:space="0"/>
            </w:tcBorders>
            <w:vAlign w:val="center"/>
          </w:tcPr>
          <w:p>
            <w:pPr>
              <w:autoSpaceDE w:val="0"/>
              <w:autoSpaceDN w:val="0"/>
              <w:jc w:val="center"/>
              <w:rPr>
                <w:rFonts w:hint="eastAsia"/>
                <w:kern w:val="0"/>
                <w:sz w:val="18"/>
                <w:lang w:eastAsia="zh-CN"/>
              </w:rPr>
            </w:pPr>
          </w:p>
        </w:tc>
        <w:tc>
          <w:tcPr>
            <w:tcW w:w="45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left"/>
              <w:textAlignment w:val="auto"/>
              <w:rPr>
                <w:rFonts w:ascii="Calibri" w:hAnsi="Calibri" w:eastAsia="宋体" w:cs="Times New Roman"/>
                <w:kern w:val="0"/>
                <w:sz w:val="21"/>
                <w:szCs w:val="24"/>
                <w:lang w:val="en-US" w:eastAsia="zh-CN" w:bidi="ar-SA"/>
              </w:rPr>
            </w:pPr>
            <w:r>
              <w:rPr>
                <w:spacing w:val="-2"/>
                <w:kern w:val="0"/>
                <w:sz w:val="21"/>
                <w:lang w:eastAsia="en-US"/>
              </w:rPr>
              <w:t>2</w:t>
            </w:r>
            <w:r>
              <w:rPr>
                <w:rFonts w:hint="eastAsia"/>
                <w:spacing w:val="-2"/>
                <w:kern w:val="0"/>
                <w:sz w:val="21"/>
                <w:lang w:eastAsia="zh-CN"/>
              </w:rPr>
              <w:t>、</w:t>
            </w:r>
            <w:r>
              <w:rPr>
                <w:spacing w:val="-4"/>
                <w:kern w:val="0"/>
                <w:sz w:val="21"/>
                <w:lang w:eastAsia="en-US"/>
              </w:rPr>
              <w:t>安全防护</w:t>
            </w:r>
          </w:p>
        </w:tc>
        <w:tc>
          <w:tcPr>
            <w:tcW w:w="1050" w:type="dxa"/>
            <w:tcBorders>
              <w:top w:val="single" w:color="000000" w:sz="4" w:space="0"/>
              <w:bottom w:val="single" w:color="000000" w:sz="4" w:space="0"/>
            </w:tcBorders>
            <w:vAlign w:val="center"/>
          </w:tcPr>
          <w:p>
            <w:pPr>
              <w:tabs>
                <w:tab w:val="left" w:pos="1060"/>
              </w:tabs>
              <w:autoSpaceDE w:val="0"/>
              <w:autoSpaceDN w:val="0"/>
              <w:spacing w:before="1"/>
              <w:ind w:right="-20" w:rightChars="0"/>
              <w:jc w:val="center"/>
              <w:rPr>
                <w:rFonts w:ascii="Calibri" w:hAnsi="Calibri" w:eastAsia="宋体" w:cs="Times New Roman"/>
                <w:kern w:val="0"/>
                <w:sz w:val="21"/>
                <w:szCs w:val="24"/>
                <w:lang w:val="en-US" w:eastAsia="en-US" w:bidi="ar-SA"/>
              </w:rPr>
            </w:pPr>
            <w:r>
              <w:rPr>
                <w:spacing w:val="-5"/>
                <w:kern w:val="0"/>
                <w:sz w:val="21"/>
                <w:lang w:eastAsia="en-US"/>
              </w:rPr>
              <w:t>1%</w:t>
            </w:r>
          </w:p>
        </w:tc>
        <w:tc>
          <w:tcPr>
            <w:tcW w:w="1110" w:type="dxa"/>
            <w:vMerge w:val="continue"/>
            <w:tcBorders>
              <w:top w:val="single" w:color="000000" w:sz="4" w:space="0"/>
              <w:bottom w:val="single" w:color="000000" w:sz="4" w:space="0"/>
            </w:tcBorders>
            <w:vAlign w:val="center"/>
          </w:tcPr>
          <w:p>
            <w:pPr>
              <w:autoSpaceDE w:val="0"/>
              <w:autoSpaceDN w:val="0"/>
              <w:jc w:val="center"/>
              <w:rPr>
                <w:spacing w:val="-4"/>
                <w:kern w:val="0"/>
                <w:sz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vMerge w:val="continue"/>
            <w:tcBorders>
              <w:top w:val="single" w:color="000000" w:sz="4" w:space="0"/>
              <w:bottom w:val="single" w:color="000000" w:sz="4" w:space="0"/>
            </w:tcBorders>
            <w:vAlign w:val="center"/>
          </w:tcPr>
          <w:p>
            <w:pPr>
              <w:autoSpaceDE w:val="0"/>
              <w:autoSpaceDN w:val="0"/>
              <w:spacing w:before="8"/>
              <w:jc w:val="center"/>
              <w:rPr>
                <w:rFonts w:hint="eastAsia"/>
                <w:kern w:val="0"/>
                <w:sz w:val="18"/>
                <w:lang w:eastAsia="en-US"/>
              </w:rPr>
            </w:pPr>
          </w:p>
        </w:tc>
        <w:tc>
          <w:tcPr>
            <w:tcW w:w="810" w:type="dxa"/>
            <w:vMerge w:val="continue"/>
            <w:tcBorders>
              <w:top w:val="single" w:color="000000" w:sz="4" w:space="0"/>
              <w:bottom w:val="single" w:color="000000" w:sz="4" w:space="0"/>
            </w:tcBorders>
            <w:vAlign w:val="top"/>
          </w:tcPr>
          <w:p>
            <w:pPr>
              <w:autoSpaceDE w:val="0"/>
              <w:autoSpaceDN w:val="0"/>
              <w:rPr>
                <w:rFonts w:hint="eastAsia" w:ascii="Calibri" w:hAnsi="Calibri" w:eastAsia="宋体" w:cs="Times New Roman"/>
                <w:kern w:val="0"/>
                <w:sz w:val="2"/>
                <w:szCs w:val="2"/>
                <w:lang w:val="en-US" w:eastAsia="zh-CN" w:bidi="ar-SA"/>
              </w:rPr>
            </w:pPr>
          </w:p>
        </w:tc>
        <w:tc>
          <w:tcPr>
            <w:tcW w:w="45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ind w:right="625" w:rightChars="0"/>
              <w:jc w:val="left"/>
              <w:textAlignment w:val="auto"/>
              <w:rPr>
                <w:rFonts w:ascii="Calibri" w:hAnsi="Calibri" w:eastAsia="宋体" w:cs="Times New Roman"/>
                <w:kern w:val="0"/>
                <w:sz w:val="21"/>
                <w:szCs w:val="24"/>
                <w:lang w:val="en-US" w:eastAsia="zh-CN" w:bidi="ar-SA"/>
              </w:rPr>
            </w:pPr>
            <w:r>
              <w:rPr>
                <w:spacing w:val="-2"/>
                <w:kern w:val="0"/>
                <w:sz w:val="21"/>
                <w:lang w:eastAsia="zh-CN"/>
              </w:rPr>
              <w:t>3</w:t>
            </w:r>
            <w:r>
              <w:rPr>
                <w:rFonts w:hint="eastAsia"/>
                <w:spacing w:val="-2"/>
                <w:kern w:val="0"/>
                <w:sz w:val="21"/>
                <w:lang w:eastAsia="zh-CN"/>
              </w:rPr>
              <w:t>、</w:t>
            </w:r>
            <w:r>
              <w:rPr>
                <w:spacing w:val="-2"/>
                <w:kern w:val="0"/>
                <w:sz w:val="21"/>
                <w:lang w:eastAsia="zh-CN"/>
              </w:rPr>
              <w:t>现场安全、文明生产和</w:t>
            </w:r>
            <w:r>
              <w:rPr>
                <w:spacing w:val="-4"/>
                <w:kern w:val="0"/>
                <w:sz w:val="21"/>
                <w:lang w:eastAsia="zh-CN"/>
              </w:rPr>
              <w:t>操作规范</w:t>
            </w:r>
          </w:p>
        </w:tc>
        <w:tc>
          <w:tcPr>
            <w:tcW w:w="1050" w:type="dxa"/>
            <w:tcBorders>
              <w:top w:val="single" w:color="000000" w:sz="4" w:space="0"/>
              <w:bottom w:val="single" w:color="000000" w:sz="4" w:space="0"/>
            </w:tcBorders>
            <w:vAlign w:val="center"/>
          </w:tcPr>
          <w:p>
            <w:pPr>
              <w:tabs>
                <w:tab w:val="left" w:pos="1060"/>
              </w:tabs>
              <w:autoSpaceDE w:val="0"/>
              <w:autoSpaceDN w:val="0"/>
              <w:spacing w:before="1"/>
              <w:ind w:right="-20" w:rightChars="0"/>
              <w:jc w:val="center"/>
              <w:rPr>
                <w:rFonts w:ascii="Calibri" w:hAnsi="Calibri" w:eastAsia="宋体" w:cs="Times New Roman"/>
                <w:kern w:val="0"/>
                <w:sz w:val="21"/>
                <w:szCs w:val="24"/>
                <w:lang w:val="en-US" w:eastAsia="en-US" w:bidi="ar-SA"/>
              </w:rPr>
            </w:pPr>
            <w:r>
              <w:rPr>
                <w:spacing w:val="-5"/>
                <w:kern w:val="0"/>
                <w:sz w:val="21"/>
                <w:lang w:eastAsia="en-US"/>
              </w:rPr>
              <w:t>2%</w:t>
            </w:r>
          </w:p>
        </w:tc>
        <w:tc>
          <w:tcPr>
            <w:tcW w:w="1110" w:type="dxa"/>
            <w:vMerge w:val="continue"/>
            <w:tcBorders>
              <w:top w:val="single" w:color="000000" w:sz="4" w:space="0"/>
              <w:bottom w:val="single" w:color="000000" w:sz="4" w:space="0"/>
            </w:tcBorders>
            <w:vAlign w:val="top"/>
          </w:tcPr>
          <w:p>
            <w:pPr>
              <w:autoSpaceDE w:val="0"/>
              <w:autoSpaceDN w:val="0"/>
              <w:rPr>
                <w:rFonts w:ascii="Calibri" w:hAnsi="Calibri" w:eastAsia="宋体" w:cs="Times New Roman"/>
                <w:kern w:val="0"/>
                <w:sz w:val="2"/>
                <w:szCs w:val="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1191" w:type="dxa"/>
            <w:tcBorders>
              <w:top w:val="single" w:color="000000" w:sz="4" w:space="0"/>
            </w:tcBorders>
            <w:vAlign w:val="center"/>
          </w:tcPr>
          <w:p>
            <w:pPr>
              <w:autoSpaceDE w:val="0"/>
              <w:autoSpaceDN w:val="0"/>
              <w:ind w:right="-79" w:rightChars="0"/>
              <w:jc w:val="center"/>
              <w:rPr>
                <w:rFonts w:hint="eastAsia" w:ascii="Calibri" w:hAnsi="Calibri" w:eastAsia="宋体" w:cs="Times New Roman"/>
                <w:kern w:val="0"/>
                <w:sz w:val="21"/>
                <w:szCs w:val="24"/>
                <w:lang w:val="en-US" w:eastAsia="en-US" w:bidi="ar-SA"/>
              </w:rPr>
            </w:pPr>
            <w:r>
              <w:rPr>
                <w:spacing w:val="-5"/>
                <w:kern w:val="0"/>
                <w:sz w:val="21"/>
                <w:lang w:eastAsia="en-US"/>
              </w:rPr>
              <w:t>总分</w:t>
            </w:r>
          </w:p>
        </w:tc>
        <w:tc>
          <w:tcPr>
            <w:tcW w:w="810" w:type="dxa"/>
            <w:tcBorders>
              <w:top w:val="single" w:color="000000" w:sz="4" w:space="0"/>
            </w:tcBorders>
            <w:vAlign w:val="top"/>
          </w:tcPr>
          <w:p>
            <w:pPr>
              <w:autoSpaceDE w:val="0"/>
              <w:autoSpaceDN w:val="0"/>
              <w:rPr>
                <w:rFonts w:hint="eastAsia" w:ascii="Calibri" w:hAnsi="Calibri" w:eastAsia="宋体" w:cs="Times New Roman"/>
                <w:kern w:val="0"/>
                <w:sz w:val="2"/>
                <w:szCs w:val="2"/>
                <w:lang w:val="en-US" w:eastAsia="zh-CN" w:bidi="ar-SA"/>
              </w:rPr>
            </w:pPr>
          </w:p>
        </w:tc>
        <w:tc>
          <w:tcPr>
            <w:tcW w:w="4575" w:type="dxa"/>
            <w:tcBorders>
              <w:top w:val="single" w:color="000000" w:sz="4" w:space="0"/>
            </w:tcBorders>
            <w:vAlign w:val="center"/>
          </w:tcPr>
          <w:p>
            <w:pPr>
              <w:autoSpaceDE w:val="0"/>
              <w:autoSpaceDN w:val="0"/>
              <w:spacing w:line="560" w:lineRule="exact"/>
              <w:ind w:left="108" w:leftChars="0" w:right="625" w:rightChars="0"/>
              <w:rPr>
                <w:spacing w:val="-2"/>
                <w:kern w:val="0"/>
                <w:sz w:val="21"/>
                <w:lang w:eastAsia="zh-CN"/>
              </w:rPr>
            </w:pPr>
          </w:p>
        </w:tc>
        <w:tc>
          <w:tcPr>
            <w:tcW w:w="1050" w:type="dxa"/>
            <w:tcBorders>
              <w:top w:val="single" w:color="000000" w:sz="4" w:space="0"/>
            </w:tcBorders>
            <w:vAlign w:val="center"/>
          </w:tcPr>
          <w:p>
            <w:pPr>
              <w:autoSpaceDE w:val="0"/>
              <w:autoSpaceDN w:val="0"/>
              <w:spacing w:before="1"/>
              <w:ind w:right="-20" w:rightChars="0"/>
              <w:jc w:val="center"/>
              <w:rPr>
                <w:rFonts w:hint="default" w:eastAsia="宋体"/>
                <w:spacing w:val="-5"/>
                <w:kern w:val="0"/>
                <w:sz w:val="21"/>
                <w:lang w:val="en-US" w:eastAsia="zh-CN"/>
              </w:rPr>
            </w:pPr>
            <w:r>
              <w:rPr>
                <w:rFonts w:hint="eastAsia"/>
                <w:spacing w:val="-5"/>
                <w:kern w:val="0"/>
                <w:sz w:val="21"/>
                <w:lang w:val="en-US" w:eastAsia="zh-CN"/>
              </w:rPr>
              <w:t>100%</w:t>
            </w:r>
          </w:p>
        </w:tc>
        <w:tc>
          <w:tcPr>
            <w:tcW w:w="1110" w:type="dxa"/>
            <w:tcBorders>
              <w:top w:val="single" w:color="000000" w:sz="4" w:space="0"/>
            </w:tcBorders>
            <w:vAlign w:val="top"/>
          </w:tcPr>
          <w:p>
            <w:pPr>
              <w:autoSpaceDE w:val="0"/>
              <w:autoSpaceDN w:val="0"/>
              <w:rPr>
                <w:rFonts w:ascii="Calibri" w:hAnsi="Calibri" w:eastAsia="宋体" w:cs="Times New Roman"/>
                <w:kern w:val="0"/>
                <w:sz w:val="2"/>
                <w:szCs w:val="2"/>
                <w:lang w:val="en-US" w:eastAsia="en-US" w:bidi="ar-SA"/>
              </w:rPr>
            </w:pPr>
          </w:p>
        </w:tc>
      </w:tr>
    </w:tbl>
    <w:p>
      <w:pPr>
        <w:rPr>
          <w:sz w:val="2"/>
          <w:szCs w:val="2"/>
        </w:rPr>
        <w:sectPr>
          <w:pgSz w:w="11910" w:h="16840"/>
          <w:pgMar w:top="2098" w:right="1474" w:bottom="1984" w:left="1587" w:header="720" w:footer="1417" w:gutter="0"/>
          <w:pgBorders>
            <w:top w:val="none" w:sz="0" w:space="0"/>
            <w:left w:val="none" w:sz="0" w:space="0"/>
            <w:bottom w:val="none" w:sz="0" w:space="0"/>
            <w:right w:val="none" w:sz="0" w:space="0"/>
          </w:pgBorders>
          <w:pgNumType w:fmt="decimal"/>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选手</w:t>
      </w:r>
      <w:r>
        <w:rPr>
          <w:rFonts w:hint="eastAsia" w:ascii="仿宋" w:hAnsi="仿宋" w:eastAsia="仿宋"/>
          <w:sz w:val="28"/>
          <w:szCs w:val="28"/>
        </w:rPr>
        <w:t>比</w:t>
      </w:r>
      <w:r>
        <w:rPr>
          <w:rFonts w:ascii="仿宋" w:hAnsi="仿宋" w:eastAsia="仿宋"/>
          <w:sz w:val="28"/>
          <w:szCs w:val="28"/>
        </w:rPr>
        <w:t>赛得分（满分 100 分）=</w:t>
      </w:r>
      <w:r>
        <w:rPr>
          <w:rFonts w:hint="eastAsia" w:ascii="仿宋" w:hAnsi="仿宋" w:eastAsia="仿宋"/>
          <w:sz w:val="28"/>
          <w:szCs w:val="28"/>
        </w:rPr>
        <w:t>理论知识得分</w:t>
      </w:r>
      <w:r>
        <w:rPr>
          <w:rFonts w:ascii="仿宋" w:hAnsi="仿宋" w:eastAsia="仿宋"/>
          <w:sz w:val="28"/>
          <w:szCs w:val="28"/>
        </w:rPr>
        <w:t>（满分</w:t>
      </w:r>
      <w:r>
        <w:rPr>
          <w:rFonts w:hint="eastAsia" w:ascii="仿宋" w:hAnsi="仿宋" w:eastAsia="仿宋"/>
          <w:sz w:val="28"/>
          <w:szCs w:val="28"/>
        </w:rPr>
        <w:t>3</w:t>
      </w:r>
      <w:r>
        <w:rPr>
          <w:rFonts w:ascii="仿宋" w:hAnsi="仿宋" w:eastAsia="仿宋"/>
          <w:sz w:val="28"/>
          <w:szCs w:val="28"/>
        </w:rPr>
        <w:t>0 分）+</w:t>
      </w:r>
      <w:r>
        <w:rPr>
          <w:rFonts w:hint="eastAsia" w:ascii="仿宋" w:hAnsi="仿宋" w:eastAsia="仿宋"/>
          <w:sz w:val="28"/>
          <w:szCs w:val="28"/>
        </w:rPr>
        <w:t>单件加工</w:t>
      </w:r>
      <w:r>
        <w:rPr>
          <w:rFonts w:ascii="仿宋" w:hAnsi="仿宋" w:eastAsia="仿宋"/>
          <w:sz w:val="28"/>
          <w:szCs w:val="28"/>
        </w:rPr>
        <w:t xml:space="preserve">得分（满分 </w:t>
      </w:r>
      <w:r>
        <w:rPr>
          <w:rFonts w:hint="eastAsia" w:ascii="仿宋" w:hAnsi="仿宋" w:eastAsia="仿宋"/>
          <w:sz w:val="28"/>
          <w:szCs w:val="28"/>
        </w:rPr>
        <w:t>4</w:t>
      </w:r>
      <w:r>
        <w:rPr>
          <w:rFonts w:ascii="仿宋" w:hAnsi="仿宋" w:eastAsia="仿宋"/>
          <w:sz w:val="28"/>
          <w:szCs w:val="28"/>
        </w:rPr>
        <w:t>5 分）+批量赛件得分（满分 10 分）+</w:t>
      </w:r>
      <w:r>
        <w:rPr>
          <w:rFonts w:hint="eastAsia" w:ascii="仿宋" w:hAnsi="仿宋" w:eastAsia="仿宋"/>
          <w:sz w:val="28"/>
          <w:szCs w:val="28"/>
        </w:rPr>
        <w:t>装配（10分）</w:t>
      </w:r>
      <w:r>
        <w:rPr>
          <w:rFonts w:ascii="仿宋" w:hAnsi="仿宋" w:eastAsia="仿宋"/>
          <w:sz w:val="28"/>
          <w:szCs w:val="28"/>
        </w:rPr>
        <w:t>+职业素养得分（满分 5分）。</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（二）评分方法</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ascii="仿宋" w:hAnsi="仿宋" w:eastAsia="仿宋"/>
          <w:sz w:val="28"/>
          <w:szCs w:val="28"/>
        </w:rPr>
        <w:t>评分原则</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理论</w:t>
      </w:r>
      <w:r>
        <w:rPr>
          <w:rFonts w:ascii="仿宋" w:hAnsi="仿宋" w:eastAsia="仿宋"/>
          <w:sz w:val="28"/>
          <w:szCs w:val="28"/>
        </w:rPr>
        <w:t>比赛为所有选手同时</w:t>
      </w:r>
      <w:r>
        <w:rPr>
          <w:rFonts w:hint="eastAsia" w:ascii="仿宋" w:hAnsi="仿宋" w:eastAsia="仿宋"/>
          <w:sz w:val="28"/>
          <w:szCs w:val="28"/>
        </w:rPr>
        <w:t>比</w:t>
      </w:r>
      <w:r>
        <w:rPr>
          <w:rFonts w:ascii="仿宋" w:hAnsi="仿宋" w:eastAsia="仿宋"/>
          <w:sz w:val="28"/>
          <w:szCs w:val="28"/>
        </w:rPr>
        <w:t>赛，并提供足够</w:t>
      </w:r>
      <w:r>
        <w:rPr>
          <w:rFonts w:hint="eastAsia" w:ascii="仿宋" w:hAnsi="仿宋" w:eastAsia="仿宋"/>
          <w:sz w:val="28"/>
          <w:szCs w:val="28"/>
        </w:rPr>
        <w:t>容纳考生的场地。</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实际操作比赛</w:t>
      </w:r>
      <w:r>
        <w:rPr>
          <w:rFonts w:ascii="仿宋" w:hAnsi="仿宋" w:eastAsia="仿宋"/>
          <w:sz w:val="28"/>
          <w:szCs w:val="28"/>
        </w:rPr>
        <w:t>部分零件所有精度</w:t>
      </w:r>
      <w:r>
        <w:rPr>
          <w:rFonts w:hint="eastAsia" w:ascii="仿宋" w:hAnsi="仿宋" w:eastAsia="仿宋"/>
          <w:sz w:val="28"/>
          <w:szCs w:val="28"/>
        </w:rPr>
        <w:t>（含装配）</w:t>
      </w:r>
      <w:r>
        <w:rPr>
          <w:rFonts w:ascii="仿宋" w:hAnsi="仿宋" w:eastAsia="仿宋"/>
          <w:sz w:val="28"/>
          <w:szCs w:val="28"/>
        </w:rPr>
        <w:t>采用手工及仪器混合测量的方法；赛件外观及职业素养等将由裁判检测组和现场裁判依据评分标准进行评分。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ascii="仿宋" w:hAnsi="仿宋" w:eastAsia="仿宋"/>
          <w:sz w:val="28"/>
          <w:szCs w:val="28"/>
        </w:rPr>
        <w:t>检测人员组成</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赛前成立现场裁判组和赛件检测评判裁判组，进行操作技能赛件的手工检测、主观分评价、职业素养评价和仪器检测监督工作。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评分流程</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rFonts w:ascii="仿宋" w:hAnsi="仿宋" w:eastAsia="仿宋"/>
          <w:sz w:val="28"/>
          <w:szCs w:val="28"/>
        </w:rPr>
      </w:pPr>
      <w:r>
        <w:rPr>
          <w:rFonts w:ascii="仿宋" w:hAnsi="仿宋" w:eastAsia="仿宋"/>
          <w:sz w:val="28"/>
          <w:szCs w:val="28"/>
        </w:rPr>
        <w:t>赛件检测在裁判长领导下，由检测组在加密状态下负责实施。赛件检测依据图纸和评分表上的要求进行。检测数据任何人不得修改，并必须立即打印纸质文件提交给裁判长妥善保存。主观评分和手工测量数据应该由每一个参与评判的裁判员签字确认后提交给裁判长妥善保存。</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保密守则</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赛件封箱、重新编号由裁判组指定专人负责。</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操作技能评分表在评分负责人的主持下当场启封。</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参赛选手的比赛成绩由赛项</w:t>
      </w:r>
      <w:r>
        <w:rPr>
          <w:rFonts w:hint="eastAsia" w:ascii="仿宋" w:hAnsi="仿宋" w:eastAsia="仿宋"/>
          <w:sz w:val="28"/>
          <w:szCs w:val="28"/>
        </w:rPr>
        <w:t>组</w:t>
      </w:r>
      <w:r>
        <w:rPr>
          <w:rFonts w:ascii="仿宋" w:hAnsi="仿宋" w:eastAsia="仿宋"/>
          <w:sz w:val="28"/>
          <w:szCs w:val="28"/>
        </w:rPr>
        <w:t>委会审定后，统一公布。</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（三）成绩复核</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为保障成绩评判的准确性，须对赛项总成绩排名前30%的所有参赛选手的成绩进行复核；对其余成绩进行抽检复核，抽检覆盖率不得低于15%。如发现成绩错误以书面方式及时告知裁判长，由裁判长更正成绩并签字确认。复核、抽检错误率超</w:t>
      </w:r>
      <w:r>
        <w:rPr>
          <w:rFonts w:hint="eastAsia" w:ascii="仿宋" w:hAnsi="仿宋" w:eastAsia="仿宋"/>
          <w:sz w:val="28"/>
          <w:szCs w:val="28"/>
        </w:rPr>
        <w:t>过</w:t>
      </w:r>
      <w:r>
        <w:rPr>
          <w:rFonts w:ascii="仿宋" w:hAnsi="仿宋" w:eastAsia="仿宋"/>
          <w:sz w:val="28"/>
          <w:szCs w:val="28"/>
        </w:rPr>
        <w:t>5%的，裁判组将对所有成绩进行复核。</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（四）最终成绩</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赛项最终得分按 100 分制计分。最终成绩经复核无误，由裁判长、监督人员和仲裁人员签字确认后公布。</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（五）名次排序方法</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名次的排序根据成绩评定结果从高到低依次排定。</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个人成绩相同者，名次以赛件检测成绩排定。</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ascii="黑体" w:hAnsi="黑体" w:eastAsia="黑体" w:cs="LinTimes"/>
          <w:sz w:val="28"/>
          <w:szCs w:val="28"/>
        </w:rPr>
        <w:t>七、技术环境</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数控车工技术平台（</w:t>
      </w:r>
      <w:r>
        <w:rPr>
          <w:rFonts w:hint="eastAsia" w:ascii="仿宋" w:hAnsi="仿宋" w:eastAsia="仿宋"/>
          <w:sz w:val="28"/>
          <w:szCs w:val="28"/>
        </w:rPr>
        <w:t>12</w:t>
      </w:r>
      <w:r>
        <w:rPr>
          <w:rFonts w:ascii="仿宋" w:hAnsi="仿宋" w:eastAsia="仿宋"/>
          <w:sz w:val="28"/>
          <w:szCs w:val="28"/>
        </w:rPr>
        <w:t>台</w:t>
      </w:r>
      <w:r>
        <w:rPr>
          <w:rFonts w:hint="eastAsia" w:ascii="仿宋" w:hAnsi="仿宋" w:eastAsia="仿宋"/>
          <w:sz w:val="28"/>
          <w:szCs w:val="28"/>
        </w:rPr>
        <w:t>，含备用设备2台</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机床型号：</w:t>
      </w:r>
      <w:r>
        <w:rPr>
          <w:rFonts w:hint="eastAsia" w:ascii="仿宋" w:hAnsi="仿宋" w:eastAsia="仿宋"/>
          <w:sz w:val="28"/>
          <w:szCs w:val="28"/>
        </w:rPr>
        <w:t>PUMA245</w:t>
      </w:r>
      <w:r>
        <w:rPr>
          <w:rFonts w:ascii="仿宋" w:hAnsi="仿宋" w:eastAsia="仿宋"/>
          <w:sz w:val="28"/>
          <w:szCs w:val="28"/>
        </w:rPr>
        <w:t>数控车床</w:t>
      </w:r>
      <w:r>
        <w:rPr>
          <w:rFonts w:hint="eastAsia" w:ascii="仿宋" w:hAnsi="仿宋" w:eastAsia="仿宋"/>
          <w:sz w:val="28"/>
          <w:szCs w:val="28"/>
        </w:rPr>
        <w:t>11台，PUMA240L数控车床1台</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系统：</w:t>
      </w:r>
      <w:r>
        <w:rPr>
          <w:rFonts w:hint="eastAsia" w:ascii="仿宋" w:hAnsi="仿宋" w:eastAsia="仿宋"/>
          <w:sz w:val="28"/>
          <w:szCs w:val="28"/>
        </w:rPr>
        <w:t>FAUNC 0i TD/C（12台）</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生产厂家：</w:t>
      </w:r>
      <w:r>
        <w:rPr>
          <w:rFonts w:hint="eastAsia" w:ascii="仿宋" w:hAnsi="仿宋" w:eastAsia="仿宋"/>
          <w:sz w:val="28"/>
          <w:szCs w:val="28"/>
        </w:rPr>
        <w:t>斗山机床</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 xml:space="preserve">主参数：直径 </w:t>
      </w:r>
      <w:r>
        <w:rPr>
          <w:rFonts w:hint="eastAsia" w:ascii="仿宋" w:hAnsi="仿宋" w:eastAsia="仿宋"/>
          <w:sz w:val="28"/>
          <w:szCs w:val="28"/>
        </w:rPr>
        <w:t>35</w:t>
      </w:r>
      <w:r>
        <w:rPr>
          <w:rFonts w:ascii="仿宋" w:hAnsi="仿宋" w:eastAsia="仿宋"/>
          <w:sz w:val="28"/>
          <w:szCs w:val="28"/>
        </w:rPr>
        <w:t>0×</w:t>
      </w:r>
      <w:r>
        <w:rPr>
          <w:rFonts w:hint="eastAsia" w:ascii="仿宋" w:hAnsi="仿宋" w:eastAsia="仿宋"/>
          <w:sz w:val="28"/>
          <w:szCs w:val="28"/>
        </w:rPr>
        <w:t>55</w:t>
      </w:r>
      <w:r>
        <w:rPr>
          <w:rFonts w:ascii="仿宋" w:hAnsi="仿宋" w:eastAsia="仿宋"/>
          <w:sz w:val="28"/>
          <w:szCs w:val="28"/>
        </w:rPr>
        <w:t>0mm</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后置刀架，刀位数：10；</w:t>
      </w:r>
      <w:r>
        <w:rPr>
          <w:rFonts w:ascii="仿宋" w:hAnsi="仿宋" w:eastAsia="仿宋"/>
          <w:sz w:val="28"/>
          <w:szCs w:val="28"/>
        </w:rPr>
        <w:t>刀方：2</w:t>
      </w:r>
      <w:r>
        <w:rPr>
          <w:rFonts w:hint="eastAsia" w:ascii="仿宋" w:hAnsi="仿宋" w:eastAsia="仿宋"/>
          <w:sz w:val="28"/>
          <w:szCs w:val="28"/>
        </w:rPr>
        <w:t>5</w:t>
      </w:r>
      <w:r>
        <w:rPr>
          <w:rFonts w:ascii="仿宋" w:hAnsi="仿宋" w:eastAsia="仿宋"/>
          <w:sz w:val="28"/>
          <w:szCs w:val="28"/>
        </w:rPr>
        <w:t>×2</w:t>
      </w:r>
      <w:r>
        <w:rPr>
          <w:rFonts w:hint="eastAsia" w:ascii="仿宋" w:hAnsi="仿宋" w:eastAsia="仿宋"/>
          <w:sz w:val="28"/>
          <w:szCs w:val="28"/>
        </w:rPr>
        <w:t>5</w:t>
      </w:r>
      <w:r>
        <w:rPr>
          <w:rFonts w:ascii="仿宋" w:hAnsi="仿宋" w:eastAsia="仿宋"/>
          <w:sz w:val="28"/>
          <w:szCs w:val="28"/>
        </w:rPr>
        <w:t>mm</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sz w:val="28"/>
          <w:szCs w:val="28"/>
        </w:rPr>
      </w:pPr>
      <w:r>
        <w:rPr>
          <w:rFonts w:hint="eastAsia"/>
          <w:sz w:val="28"/>
          <w:szCs w:val="28"/>
        </w:rPr>
        <w:t>尾座锥度：莫氏4#</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刀具、刀柄</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刀具、量具由选手自备。</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夹具</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数控车床使用夹具为三爪卡盘，由大赛组委会统一提供。</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毛坯及辅料</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 xml:space="preserve">由大赛组委会统一提供。 </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量具、刀具</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由选手自带。</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hint="eastAsia" w:ascii="仿宋" w:hAnsi="仿宋" w:eastAsia="仿宋"/>
          <w:sz w:val="28"/>
          <w:szCs w:val="28"/>
        </w:rPr>
        <w:t>其它</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样题、建议刀量具清单</w:t>
      </w:r>
      <w:r>
        <w:rPr>
          <w:rFonts w:hint="eastAsia" w:ascii="仿宋" w:hAnsi="仿宋" w:eastAsia="仿宋"/>
          <w:sz w:val="28"/>
          <w:szCs w:val="28"/>
        </w:rPr>
        <w:t>比</w:t>
      </w:r>
      <w:r>
        <w:rPr>
          <w:rFonts w:ascii="仿宋" w:hAnsi="仿宋" w:eastAsia="仿宋"/>
          <w:sz w:val="28"/>
          <w:szCs w:val="28"/>
        </w:rPr>
        <w:t>赛一周前公布</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ascii="黑体" w:hAnsi="黑体" w:eastAsia="黑体" w:cs="LinTimes"/>
          <w:sz w:val="28"/>
          <w:szCs w:val="28"/>
        </w:rPr>
        <w:t>八、</w:t>
      </w:r>
      <w:r>
        <w:rPr>
          <w:rFonts w:hint="eastAsia" w:ascii="黑体" w:hAnsi="黑体" w:eastAsia="黑体" w:cs="LinTimes"/>
          <w:sz w:val="28"/>
          <w:szCs w:val="28"/>
        </w:rPr>
        <w:t>比</w:t>
      </w:r>
      <w:r>
        <w:rPr>
          <w:rFonts w:ascii="黑体" w:hAnsi="黑体" w:eastAsia="黑体" w:cs="LinTimes"/>
          <w:sz w:val="28"/>
          <w:szCs w:val="28"/>
        </w:rPr>
        <w:t>赛规则</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hint="eastAsia" w:ascii="仿宋" w:hAnsi="仿宋" w:eastAsia="仿宋"/>
          <w:b/>
          <w:bCs/>
          <w:sz w:val="28"/>
          <w:szCs w:val="28"/>
        </w:rPr>
        <w:t>（一）通用要求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各赛务人员必须统一佩戴由大赛</w:t>
      </w:r>
      <w:r>
        <w:rPr>
          <w:rFonts w:hint="eastAsia" w:ascii="仿宋" w:hAnsi="仿宋" w:eastAsia="仿宋"/>
          <w:sz w:val="28"/>
          <w:szCs w:val="28"/>
        </w:rPr>
        <w:t>组</w:t>
      </w:r>
      <w:r>
        <w:rPr>
          <w:rFonts w:ascii="仿宋" w:hAnsi="仿宋" w:eastAsia="仿宋"/>
          <w:sz w:val="28"/>
          <w:szCs w:val="28"/>
        </w:rPr>
        <w:t>委会签发的相关证件，着装整齐。</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各赛场除现场裁判、安全员和赛场配备的工作人员以外，其他人员不得进入赛场。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新闻媒体等进入赛场必须经过大赛</w:t>
      </w:r>
      <w:r>
        <w:rPr>
          <w:rFonts w:hint="eastAsia" w:ascii="仿宋" w:hAnsi="仿宋" w:eastAsia="仿宋"/>
          <w:sz w:val="28"/>
          <w:szCs w:val="28"/>
        </w:rPr>
        <w:t>组</w:t>
      </w:r>
      <w:r>
        <w:rPr>
          <w:rFonts w:ascii="仿宋" w:hAnsi="仿宋" w:eastAsia="仿宋"/>
          <w:sz w:val="28"/>
          <w:szCs w:val="28"/>
        </w:rPr>
        <w:t>委会允许，由专人陪同并且听从现场工作人员的安排和管理，不能影响比赛进行。</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各参赛队的领队、教练员和随从人员一律不得进入赛场。</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b/>
          <w:bCs/>
          <w:sz w:val="28"/>
          <w:szCs w:val="28"/>
        </w:rPr>
      </w:pPr>
      <w:r>
        <w:rPr>
          <w:rFonts w:hint="eastAsia"/>
          <w:b/>
          <w:bCs/>
          <w:sz w:val="28"/>
          <w:szCs w:val="28"/>
        </w:rPr>
        <w:t>（二）裁判员工作要求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裁判员需在赛前参加裁判工作培训，掌握与执裁工作相关的大赛制度要求和赛项竞赛规则，具体包括：竞赛技术规则、竞赛技术平台、评分方式、评分标准、成绩管理流程、安全注意事项和安全应急预案等。</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在裁判长的安排下，对裁判员进行分组，并明确组内人员分工及工作职责、工作流程和工作要求等。</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裁判执裁前对赛场设备设施的规范性、完整性和安全性进行检查，做好执裁的准备工作。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ascii="仿宋" w:hAnsi="仿宋" w:eastAsia="仿宋"/>
          <w:sz w:val="28"/>
          <w:szCs w:val="28"/>
        </w:rPr>
        <w:t>选手进入赛位或等候区域，要对照工量刀具清单检查选手所带刀具、量具、工具等，确保与赛场要求一致。</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hint="eastAsia" w:ascii="仿宋" w:hAnsi="仿宋" w:eastAsia="仿宋"/>
          <w:sz w:val="28"/>
          <w:szCs w:val="28"/>
        </w:rPr>
        <w:t>强调选手遵照安全操作规范，安全参赛，文明参赛。</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hint="eastAsia" w:ascii="仿宋" w:hAnsi="仿宋" w:eastAsia="仿宋"/>
          <w:sz w:val="28"/>
          <w:szCs w:val="28"/>
        </w:rPr>
        <w:t>比赛过程中，无特殊情况，裁判不得接近选手，不得向选手解释题意，选手若有凝问可举手示意。</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hint="eastAsia" w:ascii="仿宋" w:hAnsi="仿宋" w:eastAsia="仿宋"/>
          <w:sz w:val="28"/>
          <w:szCs w:val="28"/>
        </w:rPr>
        <w:t>比赛现场裁判需做好赛场纪律的维护，对有违规行为的选手提出警告，对严重违规选手，应按竞赛规程予以停赛或取消竞赛资格等处理，并记录在《赛场情况记录表》；在具有危险性的作业环节，裁判员要严防选手出现错误操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hint="eastAsia" w:ascii="仿宋" w:hAnsi="仿宋" w:eastAsia="仿宋"/>
          <w:sz w:val="28"/>
          <w:szCs w:val="28"/>
        </w:rPr>
        <w:t>比赛结束后裁判员要收缴加工零件，监督选手提交考题、图纸、草稿纸等加工文件，监督选手清检现场。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hint="eastAsia" w:ascii="仿宋" w:hAnsi="仿宋" w:eastAsia="仿宋"/>
          <w:sz w:val="28"/>
          <w:szCs w:val="28"/>
        </w:rPr>
        <w:t>比赛换场期间，现场裁判须做好选手的隔离工作。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hint="eastAsia" w:ascii="仿宋" w:hAnsi="仿宋" w:eastAsia="仿宋"/>
          <w:sz w:val="28"/>
          <w:szCs w:val="28"/>
        </w:rPr>
        <w:t>零件加密由加密裁判员负责；评分结果出来后，加密裁判在监督人员监督下对加密结果进行解密，并形成最终成绩单。</w:t>
      </w:r>
    </w:p>
    <w:p>
      <w:pPr>
        <w:pStyle w:val="2"/>
        <w:keepNext w:val="0"/>
        <w:keepLines w:val="0"/>
        <w:pageBreakBefore w:val="0"/>
        <w:widowControl w:val="0"/>
        <w:kinsoku/>
        <w:wordWrap/>
        <w:overflowPunct/>
        <w:topLinePunct w:val="0"/>
        <w:autoSpaceDE/>
        <w:autoSpaceDN/>
        <w:bidi w:val="0"/>
        <w:adjustRightInd/>
        <w:spacing w:line="480" w:lineRule="exact"/>
        <w:ind w:firstLine="640"/>
        <w:textAlignment w:val="auto"/>
        <w:rPr>
          <w:b/>
          <w:bCs/>
          <w:sz w:val="28"/>
          <w:szCs w:val="28"/>
        </w:rPr>
      </w:pPr>
      <w:r>
        <w:rPr>
          <w:rFonts w:hint="eastAsia"/>
          <w:b/>
          <w:bCs/>
          <w:sz w:val="28"/>
          <w:szCs w:val="28"/>
        </w:rPr>
        <w:t>（三）选手赛场要求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参赛选手按规定时间</w:t>
      </w:r>
      <w:r>
        <w:rPr>
          <w:rFonts w:hint="eastAsia" w:ascii="仿宋" w:hAnsi="仿宋" w:eastAsia="仿宋"/>
          <w:sz w:val="28"/>
          <w:szCs w:val="28"/>
        </w:rPr>
        <w:t>提前15分钟</w:t>
      </w:r>
      <w:r>
        <w:rPr>
          <w:rFonts w:ascii="仿宋" w:hAnsi="仿宋" w:eastAsia="仿宋"/>
          <w:sz w:val="28"/>
          <w:szCs w:val="28"/>
        </w:rPr>
        <w:t>到达指定地点，凭</w:t>
      </w:r>
      <w:r>
        <w:rPr>
          <w:rFonts w:hint="eastAsia" w:ascii="仿宋" w:hAnsi="仿宋" w:eastAsia="仿宋"/>
          <w:sz w:val="28"/>
          <w:szCs w:val="28"/>
        </w:rPr>
        <w:t>参赛证</w:t>
      </w:r>
      <w:r>
        <w:rPr>
          <w:rFonts w:ascii="仿宋" w:hAnsi="仿宋" w:eastAsia="仿宋"/>
          <w:sz w:val="28"/>
          <w:szCs w:val="28"/>
        </w:rPr>
        <w:t>进入赛场</w:t>
      </w:r>
      <w:r>
        <w:rPr>
          <w:rFonts w:hint="eastAsia" w:ascii="仿宋" w:hAnsi="仿宋" w:eastAsia="仿宋"/>
          <w:sz w:val="28"/>
          <w:szCs w:val="28"/>
        </w:rPr>
        <w:t>，</w:t>
      </w:r>
      <w:r>
        <w:rPr>
          <w:rFonts w:ascii="仿宋" w:hAnsi="仿宋" w:eastAsia="仿宋"/>
          <w:sz w:val="28"/>
          <w:szCs w:val="28"/>
        </w:rPr>
        <w:t>选手迟到 15 分钟取消比赛资格。</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裁判组在赛前 30 分钟，对参赛选手的证件进行检查及进行比赛相关事项教育。</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参赛选手必须按照设备安全操作规程进行操作。参赛选手不得携带通讯工具和其它未经允许的资料、物品进入比赛场地，不得中途退场。如出现较严重的违规、违纪、舞弊等现象，经裁判组裁定取消比赛成绩。</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比赛过程中出现设备故障等问题，应提请裁判确认原因。如影响比赛进程，裁判请示裁判长裁定后，可将该选手比赛时间酌情后延。</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比赛过程中，选手因工艺制定不当或违规操作，造成设备、夹具、刀具损坏者，经裁判员裁定，视情节轻重，做扣分至终止比赛的处理。裁定终止比赛的，须报裁判长批准后执行。</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比赛结束后，参赛选手提请裁判到比赛工位检查确认并登记相关内容，选手签字确认后听从裁判指令离开赛场。裁判填写现场记录单。</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如果选手要求提前结束比赛，应报裁判批准。比赛终止时间由裁判记录在案，批准并通知提前结束比赛后，选手不得再进行任何加工。提前结束比赛的选手不准提前离开赛场。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当听到比赛结束指令时，参赛选手应立即停止操作，不得以任何理由拖延比赛时间。离开比赛场地时，不得将草稿纸等与比赛有关的物品带离比赛现场。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ascii="仿宋" w:hAnsi="仿宋" w:eastAsia="仿宋"/>
          <w:sz w:val="28"/>
          <w:szCs w:val="28"/>
        </w:rPr>
        <w:t>选手提交的赛件应经过清理，提交后工作人员在零件的指定位置做好标记，选手确认无误后方可离开。</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hint="eastAsia" w:ascii="仿宋" w:hAnsi="仿宋" w:eastAsia="仿宋"/>
          <w:b/>
          <w:bCs/>
          <w:sz w:val="28"/>
          <w:szCs w:val="28"/>
        </w:rPr>
        <w:t>（四）工作人员赛场要求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所有工作人员（含技术支持）必须服从竞赛规则和裁判长要求，认真履行相关工作职责和流程。工作人员（含技术支持）没有裁判长批准的情况下，在工作期间不得使用手机、照相机、录像机等通信和数据存储设备进入赛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在选手进行比赛或裁判员进行检测评分时，不得拍照比赛照片、图纸和工件。</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技术支持人员只能在</w:t>
      </w:r>
      <w:r>
        <w:rPr>
          <w:rFonts w:hint="eastAsia" w:ascii="仿宋" w:hAnsi="仿宋" w:eastAsia="仿宋"/>
          <w:sz w:val="28"/>
          <w:szCs w:val="28"/>
        </w:rPr>
        <w:t>规</w:t>
      </w:r>
      <w:r>
        <w:rPr>
          <w:rFonts w:ascii="仿宋" w:hAnsi="仿宋" w:eastAsia="仿宋"/>
          <w:sz w:val="28"/>
          <w:szCs w:val="28"/>
        </w:rPr>
        <w:t>定工作范围内活动，没有裁判陪同，不得私自进入选手比赛区域。不得在比赛选手附近评论或讨论任何问题。</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不能向场外人员泄露任何关于比赛的信息</w:t>
      </w:r>
      <w:r>
        <w:rPr>
          <w:rFonts w:hint="eastAsia" w:ascii="仿宋" w:hAnsi="仿宋" w:eastAsia="仿宋"/>
          <w:sz w:val="28"/>
          <w:szCs w:val="28"/>
        </w:rPr>
        <w:t>，</w:t>
      </w:r>
      <w:r>
        <w:rPr>
          <w:rFonts w:ascii="仿宋" w:hAnsi="仿宋" w:eastAsia="仿宋"/>
          <w:sz w:val="28"/>
          <w:szCs w:val="28"/>
        </w:rPr>
        <w:t>不得干扰选手比赛、裁判执裁和检测工作。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裁判长有权对比赛造成不良影响等情况的</w:t>
      </w:r>
      <w:r>
        <w:rPr>
          <w:rFonts w:hint="eastAsia" w:ascii="仿宋" w:hAnsi="仿宋" w:eastAsia="仿宋"/>
          <w:sz w:val="28"/>
          <w:szCs w:val="28"/>
        </w:rPr>
        <w:t>工作</w:t>
      </w:r>
      <w:r>
        <w:rPr>
          <w:rFonts w:ascii="仿宋" w:hAnsi="仿宋" w:eastAsia="仿宋"/>
          <w:sz w:val="28"/>
          <w:szCs w:val="28"/>
        </w:rPr>
        <w:t>人员做出警告或终止其工作的处理。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未经裁判组允许的记者、摄影等人员不允许在比赛期间采访选手、拍照等。</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hint="eastAsia" w:ascii="仿宋" w:hAnsi="仿宋" w:eastAsia="仿宋"/>
          <w:b/>
          <w:bCs/>
          <w:sz w:val="28"/>
          <w:szCs w:val="28"/>
        </w:rPr>
        <w:t>（五）纪律处罚规定</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为严肃竞赛纪律，保证技能竞赛公平、公正、公开的原则、对违反技能比赛纪律的处罚做如下规定：</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参赛选手不符合报名规定条件，或冒名顶替、或弄虚作假，经大赛组委会核准后，一律取消该选手参赛资格。</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参赛选手有下列情节之一的，取消参赛资格，比赛成绩计零分。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不按规定填写姓名、编号或在试卷、赛件上作各种标记。</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在赛场内有偷看、暗示、交头接耳等作弊行为。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在赛场使用通讯工具与他人联系。</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在规定的比赛时间结束后，仍强行操作。</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不服从裁判员的裁决，扰乱比赛秩序，影响比赛过程，情节恶劣。</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其他违反比赛规则的不听劝告者。</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参赛选手如造成比赛用设备损坏，视情节由当事人及选送</w:t>
      </w:r>
      <w:r>
        <w:rPr>
          <w:rFonts w:hint="eastAsia" w:ascii="仿宋" w:hAnsi="仿宋" w:eastAsia="仿宋"/>
          <w:sz w:val="28"/>
          <w:szCs w:val="28"/>
        </w:rPr>
        <w:t>企业</w:t>
      </w:r>
      <w:r>
        <w:rPr>
          <w:rFonts w:ascii="仿宋" w:hAnsi="仿宋" w:eastAsia="仿宋"/>
          <w:sz w:val="28"/>
          <w:szCs w:val="28"/>
        </w:rPr>
        <w:t>承担赔偿责任，参赛选手人为蓄意破坏仪器设备，由当事人承担赔偿责任并通报批评。</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选手未能按规定正确使用仪器设备，由在场裁判员及时予以纠正</w:t>
      </w:r>
      <w:r>
        <w:rPr>
          <w:rFonts w:hint="eastAsia" w:ascii="仿宋" w:hAnsi="仿宋" w:eastAsia="仿宋"/>
          <w:sz w:val="28"/>
          <w:szCs w:val="28"/>
        </w:rPr>
        <w:t>，</w:t>
      </w:r>
      <w:r>
        <w:rPr>
          <w:rFonts w:ascii="仿宋" w:hAnsi="仿宋" w:eastAsia="仿宋"/>
          <w:sz w:val="28"/>
          <w:szCs w:val="28"/>
        </w:rPr>
        <w:t>并按规定扣除比赛成绩。</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任何人不得以任何方式暗示、指导、帮助、影响参赛选手。对造成后果的，视情节轻重酌情扣除参赛选手成绩。</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非大赛工作人员、非参赛选手一律不得进入比赛场地，对不听劝阻、无理取闹者追究责任，并通报批评。</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对裁判员、其他工作人员违反工作守则，经大赛组委会核实后视情节轻重予以警告处分或取消其任职</w:t>
      </w:r>
      <w:r>
        <w:rPr>
          <w:rFonts w:hint="eastAsia" w:ascii="仿宋" w:hAnsi="仿宋" w:eastAsia="仿宋"/>
          <w:sz w:val="28"/>
          <w:szCs w:val="28"/>
        </w:rPr>
        <w:t>资格</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对违反比赛各种纪律的参赛选手及所在代表队和单位，视情节轻重、后果影响、予以取消比赛评奖资格或通报批评。</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hint="eastAsia" w:ascii="黑体" w:hAnsi="黑体" w:eastAsia="黑体" w:cs="LinTimes"/>
          <w:sz w:val="28"/>
          <w:szCs w:val="28"/>
        </w:rPr>
        <w:t>九、</w:t>
      </w:r>
      <w:r>
        <w:rPr>
          <w:rFonts w:ascii="黑体" w:hAnsi="黑体" w:eastAsia="黑体" w:cs="LinTimes"/>
          <w:sz w:val="28"/>
          <w:szCs w:val="28"/>
        </w:rPr>
        <w:t>赛场安全</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bookmarkStart w:id="1" w:name="_Toc135753277"/>
      <w:r>
        <w:rPr>
          <w:rFonts w:hint="eastAsia" w:ascii="仿宋" w:hAnsi="仿宋" w:eastAsia="仿宋"/>
          <w:b/>
          <w:bCs/>
          <w:sz w:val="28"/>
          <w:szCs w:val="28"/>
        </w:rPr>
        <w:t>（一）选手安全防护措施要求</w:t>
      </w:r>
      <w:bookmarkEnd w:id="1"/>
    </w:p>
    <w:p>
      <w:pPr>
        <w:keepNext w:val="0"/>
        <w:keepLines w:val="0"/>
        <w:pageBreakBefore w:val="0"/>
        <w:widowControl w:val="0"/>
        <w:kinsoku/>
        <w:wordWrap/>
        <w:overflowPunct/>
        <w:topLinePunct w:val="0"/>
        <w:autoSpaceDE/>
        <w:autoSpaceDN/>
        <w:bidi w:val="0"/>
        <w:adjustRightInd/>
        <w:spacing w:line="480" w:lineRule="exact"/>
        <w:ind w:firstLine="640" w:firstLineChars="200"/>
        <w:textAlignment w:val="auto"/>
        <w:rPr>
          <w:rFonts w:ascii="仿宋" w:hAnsi="仿宋" w:eastAsia="仿宋"/>
          <w:sz w:val="32"/>
        </w:rPr>
      </w:pPr>
      <w:bookmarkStart w:id="2" w:name="_Toc49976105"/>
      <w:bookmarkStart w:id="3" w:name="_Toc135753278"/>
      <w:r>
        <w:rPr>
          <w:rFonts w:hint="eastAsia" w:ascii="仿宋" w:hAnsi="仿宋" w:eastAsia="仿宋"/>
          <w:sz w:val="32"/>
        </w:rPr>
        <w:t>1</w:t>
      </w:r>
      <w:r>
        <w:rPr>
          <w:rFonts w:hint="eastAsia" w:ascii="仿宋" w:hAnsi="仿宋" w:eastAsia="仿宋"/>
          <w:sz w:val="32"/>
          <w:lang w:val="en-US" w:eastAsia="zh-CN"/>
        </w:rPr>
        <w:t>.</w:t>
      </w:r>
      <w:r>
        <w:rPr>
          <w:rFonts w:hint="eastAsia" w:ascii="仿宋" w:hAnsi="仿宋" w:eastAsia="仿宋"/>
          <w:sz w:val="32"/>
        </w:rPr>
        <w:t>劳保用品</w:t>
      </w:r>
      <w:bookmarkEnd w:id="2"/>
      <w:bookmarkEnd w:id="3"/>
    </w:p>
    <w:tbl>
      <w:tblPr>
        <w:tblStyle w:val="9"/>
        <w:tblW w:w="8522"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3544"/>
        <w:gridCol w:w="3169"/>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名称</w:t>
            </w:r>
          </w:p>
        </w:tc>
        <w:tc>
          <w:tcPr>
            <w:tcW w:w="3544"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图例</w:t>
            </w:r>
          </w:p>
        </w:tc>
        <w:tc>
          <w:tcPr>
            <w:tcW w:w="3169"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要求</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Align w:val="center"/>
          </w:tcPr>
          <w:p>
            <w:pPr>
              <w:jc w:val="center"/>
              <w:rPr>
                <w:rFonts w:ascii="宋体" w:hAnsi="宋体"/>
                <w:sz w:val="24"/>
              </w:rPr>
            </w:pPr>
            <w:r>
              <w:rPr>
                <w:rFonts w:hint="eastAsia" w:ascii="宋体" w:hAnsi="宋体"/>
                <w:sz w:val="24"/>
              </w:rPr>
              <w:t>防护镜</w:t>
            </w:r>
          </w:p>
        </w:tc>
        <w:tc>
          <w:tcPr>
            <w:tcW w:w="3544" w:type="dxa"/>
            <w:vAlign w:val="center"/>
          </w:tcPr>
          <w:p>
            <w:pPr>
              <w:jc w:val="center"/>
              <w:rPr>
                <w:rFonts w:ascii="宋体"/>
              </w:rPr>
            </w:pPr>
            <w:r>
              <w:rPr>
                <w:rFonts w:ascii="宋体"/>
              </w:rPr>
              <w:drawing>
                <wp:inline distT="0" distB="0" distL="114300" distR="114300">
                  <wp:extent cx="1115060" cy="676275"/>
                  <wp:effectExtent l="0" t="0" r="8890" b="9525"/>
                  <wp:docPr id="1" name="图片 1" descr="http://docs.ebdoor.com/Image/ProductImage/0/3297/32979528_1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docs.ebdoor.com/Image/ProductImage/0/3297/32979528_1_medium.jpg"/>
                          <pic:cNvPicPr>
                            <a:picLocks noChangeAspect="1"/>
                          </pic:cNvPicPr>
                        </pic:nvPicPr>
                        <pic:blipFill>
                          <a:blip r:embed="rId10" cstate="print"/>
                          <a:srcRect t="22775" b="16731"/>
                          <a:stretch>
                            <a:fillRect/>
                          </a:stretch>
                        </pic:blipFill>
                        <pic:spPr>
                          <a:xfrm rot="-10800000" flipV="1">
                            <a:off x="0" y="0"/>
                            <a:ext cx="1115060" cy="676275"/>
                          </a:xfrm>
                          <a:prstGeom prst="rect">
                            <a:avLst/>
                          </a:prstGeom>
                          <a:noFill/>
                          <a:ln>
                            <a:noFill/>
                          </a:ln>
                        </pic:spPr>
                      </pic:pic>
                    </a:graphicData>
                  </a:graphic>
                </wp:inline>
              </w:drawing>
            </w:r>
          </w:p>
        </w:tc>
        <w:tc>
          <w:tcPr>
            <w:tcW w:w="3169" w:type="dxa"/>
            <w:vAlign w:val="center"/>
          </w:tcPr>
          <w:p>
            <w:pPr>
              <w:spacing w:line="360" w:lineRule="exact"/>
              <w:rPr>
                <w:rFonts w:ascii="宋体"/>
                <w:sz w:val="24"/>
              </w:rPr>
            </w:pPr>
            <w:r>
              <w:rPr>
                <w:rFonts w:hint="eastAsia" w:ascii="宋体" w:hAnsi="宋体"/>
                <w:sz w:val="24"/>
              </w:rPr>
              <w:t>必须是防溅入式防护镜</w:t>
            </w:r>
          </w:p>
          <w:p>
            <w:pPr>
              <w:spacing w:line="360" w:lineRule="exact"/>
              <w:rPr>
                <w:rFonts w:ascii="宋体"/>
                <w:sz w:val="24"/>
              </w:rPr>
            </w:pPr>
            <w:r>
              <w:rPr>
                <w:rFonts w:hint="eastAsia" w:ascii="宋体" w:hAnsi="宋体"/>
                <w:sz w:val="24"/>
              </w:rPr>
              <w:t>近视镜不能代替防护镜</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Align w:val="center"/>
          </w:tcPr>
          <w:p>
            <w:pPr>
              <w:jc w:val="center"/>
              <w:rPr>
                <w:rFonts w:ascii="宋体"/>
                <w:sz w:val="24"/>
              </w:rPr>
            </w:pPr>
            <w:r>
              <w:rPr>
                <w:rFonts w:hint="eastAsia" w:ascii="宋体" w:hAnsi="宋体"/>
                <w:sz w:val="24"/>
              </w:rPr>
              <w:t>安全鞋</w:t>
            </w:r>
          </w:p>
        </w:tc>
        <w:tc>
          <w:tcPr>
            <w:tcW w:w="3544" w:type="dxa"/>
          </w:tcPr>
          <w:p>
            <w:pPr>
              <w:jc w:val="center"/>
              <w:rPr>
                <w:rFonts w:ascii="宋体"/>
              </w:rPr>
            </w:pPr>
            <w:r>
              <w:rPr>
                <w:rFonts w:ascii="宋体"/>
              </w:rPr>
              <w:drawing>
                <wp:inline distT="0" distB="0" distL="114300" distR="114300">
                  <wp:extent cx="895350" cy="686435"/>
                  <wp:effectExtent l="0" t="0" r="0" b="18415"/>
                  <wp:docPr id="2" name="图片 2" descr="http://pigimg.zhongso.com/space/gallery/2013/07/09/17/b2b_20130609055930908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pigimg.zhongso.com/space/gallery/2013/07/09/17/b2b_20130609055930908604.jpg"/>
                          <pic:cNvPicPr>
                            <a:picLocks noChangeAspect="1"/>
                          </pic:cNvPicPr>
                        </pic:nvPicPr>
                        <pic:blipFill>
                          <a:blip r:embed="rId11" cstate="print"/>
                          <a:stretch>
                            <a:fillRect/>
                          </a:stretch>
                        </pic:blipFill>
                        <pic:spPr>
                          <a:xfrm>
                            <a:off x="0" y="0"/>
                            <a:ext cx="895350" cy="686435"/>
                          </a:xfrm>
                          <a:prstGeom prst="rect">
                            <a:avLst/>
                          </a:prstGeom>
                          <a:noFill/>
                          <a:ln>
                            <a:noFill/>
                          </a:ln>
                        </pic:spPr>
                      </pic:pic>
                    </a:graphicData>
                  </a:graphic>
                </wp:inline>
              </w:drawing>
            </w:r>
          </w:p>
        </w:tc>
        <w:tc>
          <w:tcPr>
            <w:tcW w:w="3169" w:type="dxa"/>
            <w:vAlign w:val="center"/>
          </w:tcPr>
          <w:p>
            <w:pPr>
              <w:spacing w:line="360" w:lineRule="exact"/>
              <w:rPr>
                <w:rFonts w:ascii="宋体"/>
                <w:sz w:val="24"/>
              </w:rPr>
            </w:pPr>
            <w:r>
              <w:rPr>
                <w:rFonts w:hint="eastAsia" w:ascii="宋体" w:hAnsi="宋体"/>
                <w:sz w:val="24"/>
              </w:rPr>
              <w:t>必须防滑、防砸、防穿刺</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Align w:val="center"/>
          </w:tcPr>
          <w:p>
            <w:pPr>
              <w:jc w:val="center"/>
              <w:rPr>
                <w:rFonts w:ascii="宋体"/>
                <w:sz w:val="24"/>
              </w:rPr>
            </w:pPr>
            <w:r>
              <w:rPr>
                <w:rFonts w:hint="eastAsia" w:ascii="宋体" w:hAnsi="宋体"/>
                <w:sz w:val="24"/>
              </w:rPr>
              <w:t>防护服</w:t>
            </w:r>
          </w:p>
        </w:tc>
        <w:tc>
          <w:tcPr>
            <w:tcW w:w="3544" w:type="dxa"/>
          </w:tcPr>
          <w:p>
            <w:pPr>
              <w:jc w:val="center"/>
              <w:rPr>
                <w:rFonts w:ascii="宋体"/>
              </w:rPr>
            </w:pPr>
            <w:r>
              <w:rPr>
                <w:rFonts w:ascii="宋体"/>
              </w:rPr>
              <w:drawing>
                <wp:inline distT="0" distB="0" distL="114300" distR="114300">
                  <wp:extent cx="733425" cy="11334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stretch>
                            <a:fillRect/>
                          </a:stretch>
                        </pic:blipFill>
                        <pic:spPr>
                          <a:xfrm>
                            <a:off x="0" y="0"/>
                            <a:ext cx="733425" cy="1133475"/>
                          </a:xfrm>
                          <a:prstGeom prst="rect">
                            <a:avLst/>
                          </a:prstGeom>
                          <a:noFill/>
                          <a:ln>
                            <a:noFill/>
                          </a:ln>
                        </pic:spPr>
                      </pic:pic>
                    </a:graphicData>
                  </a:graphic>
                </wp:inline>
              </w:drawing>
            </w:r>
          </w:p>
        </w:tc>
        <w:tc>
          <w:tcPr>
            <w:tcW w:w="3169" w:type="dxa"/>
            <w:vAlign w:val="center"/>
          </w:tcPr>
          <w:p>
            <w:pPr>
              <w:spacing w:line="360" w:lineRule="exact"/>
              <w:rPr>
                <w:rFonts w:ascii="宋体"/>
                <w:sz w:val="24"/>
              </w:rPr>
            </w:pPr>
            <w:r>
              <w:rPr>
                <w:rFonts w:ascii="宋体" w:hAnsi="宋体"/>
                <w:sz w:val="24"/>
              </w:rPr>
              <w:t>1</w:t>
            </w:r>
            <w:r>
              <w:rPr>
                <w:rFonts w:hint="eastAsia" w:ascii="宋体" w:hAnsi="宋体"/>
                <w:sz w:val="24"/>
              </w:rPr>
              <w:t>、必须是长裤</w:t>
            </w:r>
          </w:p>
          <w:p>
            <w:pPr>
              <w:spacing w:line="360" w:lineRule="exact"/>
              <w:rPr>
                <w:rFonts w:ascii="宋体"/>
                <w:sz w:val="24"/>
              </w:rPr>
            </w:pPr>
            <w:r>
              <w:rPr>
                <w:rFonts w:ascii="宋体" w:hAnsi="宋体"/>
                <w:sz w:val="24"/>
              </w:rPr>
              <w:t>2</w:t>
            </w:r>
            <w:r>
              <w:rPr>
                <w:rFonts w:hint="eastAsia" w:ascii="宋体" w:hAnsi="宋体"/>
                <w:sz w:val="24"/>
              </w:rPr>
              <w:t>、防护服必须紧身不松垮，达到三紧要求</w:t>
            </w:r>
          </w:p>
          <w:p>
            <w:pPr>
              <w:spacing w:line="360" w:lineRule="exact"/>
              <w:rPr>
                <w:rFonts w:ascii="宋体"/>
                <w:sz w:val="24"/>
              </w:rPr>
            </w:pPr>
            <w:r>
              <w:rPr>
                <w:rFonts w:ascii="宋体" w:hAnsi="宋体"/>
                <w:sz w:val="24"/>
              </w:rPr>
              <w:t>3</w:t>
            </w:r>
            <w:r>
              <w:rPr>
                <w:rFonts w:hint="eastAsia" w:ascii="宋体" w:hAnsi="宋体"/>
                <w:sz w:val="24"/>
              </w:rPr>
              <w:t>、女性必须带工作帽、长发不得外露</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Align w:val="center"/>
          </w:tcPr>
          <w:p>
            <w:pPr>
              <w:jc w:val="center"/>
              <w:rPr>
                <w:rFonts w:ascii="宋体"/>
                <w:sz w:val="24"/>
              </w:rPr>
            </w:pPr>
            <w:r>
              <w:rPr>
                <w:rFonts w:hint="eastAsia" w:ascii="宋体" w:hAnsi="宋体"/>
                <w:sz w:val="24"/>
              </w:rPr>
              <w:t>防护手套</w:t>
            </w:r>
          </w:p>
        </w:tc>
        <w:tc>
          <w:tcPr>
            <w:tcW w:w="3544" w:type="dxa"/>
          </w:tcPr>
          <w:p>
            <w:pPr>
              <w:jc w:val="center"/>
              <w:rPr>
                <w:rFonts w:ascii="宋体"/>
              </w:rPr>
            </w:pPr>
            <w:r>
              <w:rPr>
                <w:rFonts w:ascii="宋体"/>
              </w:rPr>
              <w:drawing>
                <wp:inline distT="0" distB="0" distL="114300" distR="114300">
                  <wp:extent cx="733425" cy="466725"/>
                  <wp:effectExtent l="0" t="0" r="9525"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3" cstate="print"/>
                          <a:stretch>
                            <a:fillRect/>
                          </a:stretch>
                        </pic:blipFill>
                        <pic:spPr>
                          <a:xfrm>
                            <a:off x="0" y="0"/>
                            <a:ext cx="733425" cy="466725"/>
                          </a:xfrm>
                          <a:prstGeom prst="rect">
                            <a:avLst/>
                          </a:prstGeom>
                          <a:noFill/>
                          <a:ln>
                            <a:noFill/>
                          </a:ln>
                        </pic:spPr>
                      </pic:pic>
                    </a:graphicData>
                  </a:graphic>
                </wp:inline>
              </w:drawing>
            </w:r>
          </w:p>
        </w:tc>
        <w:tc>
          <w:tcPr>
            <w:tcW w:w="3169" w:type="dxa"/>
            <w:vAlign w:val="center"/>
          </w:tcPr>
          <w:p>
            <w:pPr>
              <w:spacing w:line="360" w:lineRule="exact"/>
              <w:rPr>
                <w:rFonts w:ascii="宋体"/>
                <w:sz w:val="24"/>
              </w:rPr>
            </w:pPr>
            <w:r>
              <w:rPr>
                <w:rFonts w:hint="eastAsia" w:ascii="宋体" w:hAnsi="宋体"/>
                <w:sz w:val="24"/>
              </w:rPr>
              <w:t>机床操作时不得配带</w:t>
            </w:r>
          </w:p>
        </w:tc>
      </w:tr>
    </w:tbl>
    <w:p>
      <w:pPr>
        <w:spacing w:line="560" w:lineRule="exact"/>
        <w:ind w:firstLine="640" w:firstLineChars="200"/>
        <w:rPr>
          <w:rFonts w:ascii="仿宋" w:hAnsi="仿宋" w:eastAsia="仿宋"/>
          <w:sz w:val="32"/>
        </w:rPr>
      </w:pPr>
      <w:bookmarkStart w:id="4" w:name="_Toc49976106"/>
      <w:bookmarkStart w:id="5" w:name="_Toc135753279"/>
      <w:r>
        <w:rPr>
          <w:rFonts w:hint="eastAsia" w:ascii="仿宋" w:hAnsi="仿宋" w:eastAsia="仿宋"/>
          <w:sz w:val="32"/>
        </w:rPr>
        <w:t>2</w:t>
      </w:r>
      <w:r>
        <w:rPr>
          <w:rFonts w:hint="eastAsia" w:ascii="仿宋" w:hAnsi="仿宋" w:eastAsia="仿宋"/>
          <w:sz w:val="32"/>
          <w:lang w:val="en-US" w:eastAsia="zh-CN"/>
        </w:rPr>
        <w:t>.</w:t>
      </w:r>
      <w:r>
        <w:rPr>
          <w:rFonts w:hint="eastAsia" w:ascii="仿宋" w:hAnsi="仿宋" w:eastAsia="仿宋"/>
          <w:sz w:val="32"/>
        </w:rPr>
        <w:t>佩戴要求</w:t>
      </w:r>
      <w:bookmarkEnd w:id="4"/>
      <w:bookmarkEnd w:id="5"/>
    </w:p>
    <w:tbl>
      <w:tblPr>
        <w:tblStyle w:val="9"/>
        <w:tblW w:w="8522"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1384"/>
        <w:gridCol w:w="4536"/>
        <w:gridCol w:w="2602"/>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84"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时段</w:t>
            </w:r>
          </w:p>
        </w:tc>
        <w:tc>
          <w:tcPr>
            <w:tcW w:w="4536"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要求</w:t>
            </w:r>
          </w:p>
        </w:tc>
        <w:tc>
          <w:tcPr>
            <w:tcW w:w="2602" w:type="dxa"/>
            <w:shd w:val="clear" w:color="auto" w:fill="C7DAF1" w:themeFill="text2" w:themeFillTint="32"/>
            <w:vAlign w:val="center"/>
          </w:tcPr>
          <w:p>
            <w:pPr>
              <w:spacing w:line="360" w:lineRule="exact"/>
              <w:ind w:firstLine="359" w:firstLineChars="149"/>
              <w:jc w:val="left"/>
              <w:rPr>
                <w:rFonts w:ascii="仿宋" w:hAnsi="仿宋" w:eastAsia="仿宋"/>
                <w:b/>
                <w:sz w:val="24"/>
              </w:rPr>
            </w:pPr>
            <w:r>
              <w:rPr>
                <w:rFonts w:hint="eastAsia" w:ascii="仿宋" w:hAnsi="仿宋" w:eastAsia="仿宋"/>
                <w:b/>
                <w:sz w:val="24"/>
              </w:rPr>
              <w:t>备注</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84" w:type="dxa"/>
            <w:vAlign w:val="center"/>
          </w:tcPr>
          <w:p>
            <w:pPr>
              <w:jc w:val="center"/>
              <w:rPr>
                <w:rFonts w:ascii="宋体"/>
                <w:sz w:val="24"/>
              </w:rPr>
            </w:pPr>
            <w:r>
              <w:rPr>
                <w:rFonts w:hint="eastAsia" w:ascii="宋体" w:hAnsi="宋体"/>
                <w:sz w:val="24"/>
              </w:rPr>
              <w:t>机床操作时</w:t>
            </w:r>
          </w:p>
        </w:tc>
        <w:tc>
          <w:tcPr>
            <w:tcW w:w="4536" w:type="dxa"/>
          </w:tcPr>
          <w:p>
            <w:pPr>
              <w:rPr>
                <w:rFonts w:ascii="宋体"/>
                <w:sz w:val="24"/>
              </w:rPr>
            </w:pPr>
            <w:r>
              <w:rPr>
                <w:rFonts w:ascii="宋体"/>
                <w:sz w:val="24"/>
              </w:rPr>
              <w:drawing>
                <wp:inline distT="0" distB="0" distL="114300" distR="114300">
                  <wp:extent cx="487680" cy="692150"/>
                  <wp:effectExtent l="0" t="0" r="7620" b="1270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4" cstate="print"/>
                          <a:stretch>
                            <a:fillRect/>
                          </a:stretch>
                        </pic:blipFill>
                        <pic:spPr>
                          <a:xfrm>
                            <a:off x="0" y="0"/>
                            <a:ext cx="487680" cy="692150"/>
                          </a:xfrm>
                          <a:prstGeom prst="rect">
                            <a:avLst/>
                          </a:prstGeom>
                          <a:noFill/>
                          <a:ln>
                            <a:noFill/>
                          </a:ln>
                        </pic:spPr>
                      </pic:pic>
                    </a:graphicData>
                  </a:graphic>
                </wp:inline>
              </w:drawing>
            </w:r>
            <w:r>
              <w:rPr>
                <w:rFonts w:ascii="宋体"/>
                <w:sz w:val="24"/>
              </w:rPr>
              <w:drawing>
                <wp:inline distT="0" distB="0" distL="114300" distR="114300">
                  <wp:extent cx="542925" cy="695325"/>
                  <wp:effectExtent l="0" t="0" r="9525" b="95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5" cstate="print"/>
                          <a:stretch>
                            <a:fillRect/>
                          </a:stretch>
                        </pic:blipFill>
                        <pic:spPr>
                          <a:xfrm>
                            <a:off x="0" y="0"/>
                            <a:ext cx="54292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6" cstate="print"/>
                          <a:stretch>
                            <a:fillRect/>
                          </a:stretch>
                        </pic:blipFill>
                        <pic:spPr>
                          <a:xfrm>
                            <a:off x="0" y="0"/>
                            <a:ext cx="52387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5" name="图片 8" descr="http://t02.pic.sogou.com/1bd6e0d6103d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http://t02.pic.sogou.com/1bd6e0d6103d2377.jpg"/>
                          <pic:cNvPicPr>
                            <a:picLocks noChangeAspect="1"/>
                          </pic:cNvPicPr>
                        </pic:nvPicPr>
                        <pic:blipFill>
                          <a:blip r:embed="rId17" cstate="print"/>
                          <a:stretch>
                            <a:fillRect/>
                          </a:stretch>
                        </pic:blipFill>
                        <pic:spPr>
                          <a:xfrm>
                            <a:off x="0" y="0"/>
                            <a:ext cx="52387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13" name="图片 9" descr="http://www.bspbp.com/uploadpic/zl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http://www.bspbp.com/uploadpic/zl004.jpg"/>
                          <pic:cNvPicPr>
                            <a:picLocks noChangeAspect="1"/>
                          </pic:cNvPicPr>
                        </pic:nvPicPr>
                        <pic:blipFill>
                          <a:blip r:embed="rId18" cstate="print"/>
                          <a:stretch>
                            <a:fillRect/>
                          </a:stretch>
                        </pic:blipFill>
                        <pic:spPr>
                          <a:xfrm>
                            <a:off x="0" y="0"/>
                            <a:ext cx="523875" cy="695325"/>
                          </a:xfrm>
                          <a:prstGeom prst="rect">
                            <a:avLst/>
                          </a:prstGeom>
                          <a:noFill/>
                          <a:ln>
                            <a:noFill/>
                          </a:ln>
                        </pic:spPr>
                      </pic:pic>
                    </a:graphicData>
                  </a:graphic>
                </wp:inline>
              </w:drawing>
            </w:r>
          </w:p>
        </w:tc>
        <w:tc>
          <w:tcPr>
            <w:tcW w:w="2602" w:type="dxa"/>
            <w:vAlign w:val="center"/>
          </w:tcPr>
          <w:p>
            <w:pPr>
              <w:rPr>
                <w:rFonts w:ascii="宋体"/>
                <w:sz w:val="24"/>
              </w:rPr>
            </w:pPr>
            <w:r>
              <w:rPr>
                <w:rFonts w:hint="eastAsia" w:ascii="宋体" w:hAnsi="宋体"/>
                <w:sz w:val="24"/>
              </w:rPr>
              <w:t>牛仔裤配紧身上衣也可。</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84" w:type="dxa"/>
            <w:vAlign w:val="center"/>
          </w:tcPr>
          <w:p>
            <w:pPr>
              <w:jc w:val="center"/>
              <w:rPr>
                <w:rFonts w:ascii="宋体"/>
                <w:sz w:val="24"/>
              </w:rPr>
            </w:pPr>
            <w:r>
              <w:rPr>
                <w:rFonts w:hint="eastAsia" w:ascii="宋体" w:hAnsi="宋体"/>
                <w:sz w:val="24"/>
              </w:rPr>
              <w:t>拿取毛坯、手工去毛刺时</w:t>
            </w:r>
          </w:p>
        </w:tc>
        <w:tc>
          <w:tcPr>
            <w:tcW w:w="4536" w:type="dxa"/>
          </w:tcPr>
          <w:p>
            <w:pPr>
              <w:rPr>
                <w:rFonts w:ascii="宋体"/>
                <w:sz w:val="24"/>
              </w:rPr>
            </w:pPr>
            <w:r>
              <w:rPr>
                <w:rFonts w:ascii="宋体"/>
                <w:sz w:val="24"/>
              </w:rPr>
              <w:drawing>
                <wp:inline distT="0" distB="0" distL="114300" distR="114300">
                  <wp:extent cx="514985" cy="688975"/>
                  <wp:effectExtent l="0" t="0" r="18415" b="15875"/>
                  <wp:docPr id="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pic:cNvPicPr>
                            <a:picLocks noChangeAspect="1"/>
                          </pic:cNvPicPr>
                        </pic:nvPicPr>
                        <pic:blipFill>
                          <a:blip r:embed="rId19" cstate="print"/>
                          <a:stretch>
                            <a:fillRect/>
                          </a:stretch>
                        </pic:blipFill>
                        <pic:spPr>
                          <a:xfrm>
                            <a:off x="0" y="0"/>
                            <a:ext cx="514985" cy="688975"/>
                          </a:xfrm>
                          <a:prstGeom prst="rect">
                            <a:avLst/>
                          </a:prstGeom>
                          <a:noFill/>
                          <a:ln>
                            <a:noFill/>
                          </a:ln>
                        </pic:spPr>
                      </pic:pic>
                    </a:graphicData>
                  </a:graphic>
                </wp:inline>
              </w:drawing>
            </w:r>
            <w:r>
              <w:rPr>
                <w:rFonts w:ascii="宋体"/>
                <w:sz w:val="24"/>
              </w:rPr>
              <w:drawing>
                <wp:inline distT="0" distB="0" distL="114300" distR="114300">
                  <wp:extent cx="542925" cy="695325"/>
                  <wp:effectExtent l="0" t="0" r="9525" b="9525"/>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15" cstate="print"/>
                          <a:stretch>
                            <a:fillRect/>
                          </a:stretch>
                        </pic:blipFill>
                        <pic:spPr>
                          <a:xfrm>
                            <a:off x="0" y="0"/>
                            <a:ext cx="54292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6" cstate="print"/>
                          <a:stretch>
                            <a:fillRect/>
                          </a:stretch>
                        </pic:blipFill>
                        <pic:spPr>
                          <a:xfrm>
                            <a:off x="0" y="0"/>
                            <a:ext cx="52387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18" name="图片 13" descr="http://t02.pic.sogou.com/1bd6e0d6103d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http://t02.pic.sogou.com/1bd6e0d6103d2377.jpg"/>
                          <pic:cNvPicPr>
                            <a:picLocks noChangeAspect="1"/>
                          </pic:cNvPicPr>
                        </pic:nvPicPr>
                        <pic:blipFill>
                          <a:blip r:embed="rId17" cstate="print"/>
                          <a:stretch>
                            <a:fillRect/>
                          </a:stretch>
                        </pic:blipFill>
                        <pic:spPr>
                          <a:xfrm>
                            <a:off x="0" y="0"/>
                            <a:ext cx="523875" cy="695325"/>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21" name="图片 14" descr="http://www.bspbp.com/uploadpic/zl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http://www.bspbp.com/uploadpic/zl004.jpg"/>
                          <pic:cNvPicPr>
                            <a:picLocks noChangeAspect="1"/>
                          </pic:cNvPicPr>
                        </pic:nvPicPr>
                        <pic:blipFill>
                          <a:blip r:embed="rId18" cstate="print"/>
                          <a:stretch>
                            <a:fillRect/>
                          </a:stretch>
                        </pic:blipFill>
                        <pic:spPr>
                          <a:xfrm>
                            <a:off x="0" y="0"/>
                            <a:ext cx="523875" cy="695325"/>
                          </a:xfrm>
                          <a:prstGeom prst="rect">
                            <a:avLst/>
                          </a:prstGeom>
                          <a:noFill/>
                          <a:ln>
                            <a:noFill/>
                          </a:ln>
                        </pic:spPr>
                      </pic:pic>
                    </a:graphicData>
                  </a:graphic>
                </wp:inline>
              </w:drawing>
            </w:r>
          </w:p>
        </w:tc>
        <w:tc>
          <w:tcPr>
            <w:tcW w:w="2602" w:type="dxa"/>
            <w:vAlign w:val="center"/>
          </w:tcPr>
          <w:p>
            <w:pPr>
              <w:rPr>
                <w:rFonts w:ascii="宋体"/>
                <w:sz w:val="24"/>
              </w:rPr>
            </w:pPr>
            <w:r>
              <w:rPr>
                <w:rFonts w:hint="eastAsia" w:ascii="宋体" w:hAnsi="宋体"/>
                <w:sz w:val="24"/>
              </w:rPr>
              <w:t>牛仔裤配紧身上衣也可。</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84" w:type="dxa"/>
            <w:vAlign w:val="center"/>
          </w:tcPr>
          <w:p>
            <w:pPr>
              <w:jc w:val="center"/>
              <w:rPr>
                <w:rFonts w:ascii="宋体"/>
                <w:sz w:val="24"/>
              </w:rPr>
            </w:pPr>
            <w:r>
              <w:rPr>
                <w:rFonts w:hint="eastAsia" w:ascii="宋体" w:hAnsi="宋体"/>
                <w:sz w:val="24"/>
              </w:rPr>
              <w:t>编程时</w:t>
            </w:r>
          </w:p>
        </w:tc>
        <w:tc>
          <w:tcPr>
            <w:tcW w:w="4536" w:type="dxa"/>
          </w:tcPr>
          <w:p>
            <w:pPr>
              <w:rPr>
                <w:rFonts w:ascii="宋体"/>
                <w:sz w:val="24"/>
              </w:rPr>
            </w:pPr>
            <w:r>
              <w:rPr>
                <w:rFonts w:ascii="宋体"/>
                <w:sz w:val="24"/>
              </w:rPr>
              <w:drawing>
                <wp:inline distT="0" distB="0" distL="114300" distR="114300">
                  <wp:extent cx="511175" cy="676910"/>
                  <wp:effectExtent l="0" t="0" r="3175" b="8890"/>
                  <wp:docPr id="22" name="图片 15" descr="http://t02.pic.sogou.com/1bd6e0d6103d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http://t02.pic.sogou.com/1bd6e0d6103d2377.jpg"/>
                          <pic:cNvPicPr>
                            <a:picLocks noChangeAspect="1"/>
                          </pic:cNvPicPr>
                        </pic:nvPicPr>
                        <pic:blipFill>
                          <a:blip r:embed="rId20" cstate="print"/>
                          <a:stretch>
                            <a:fillRect/>
                          </a:stretch>
                        </pic:blipFill>
                        <pic:spPr>
                          <a:xfrm>
                            <a:off x="0" y="0"/>
                            <a:ext cx="511175" cy="676910"/>
                          </a:xfrm>
                          <a:prstGeom prst="rect">
                            <a:avLst/>
                          </a:prstGeom>
                          <a:noFill/>
                          <a:ln>
                            <a:noFill/>
                          </a:ln>
                        </pic:spPr>
                      </pic:pic>
                    </a:graphicData>
                  </a:graphic>
                </wp:inline>
              </w:drawing>
            </w:r>
            <w:r>
              <w:rPr>
                <w:rFonts w:ascii="宋体"/>
                <w:sz w:val="24"/>
              </w:rPr>
              <w:drawing>
                <wp:inline distT="0" distB="0" distL="114300" distR="114300">
                  <wp:extent cx="523875" cy="695325"/>
                  <wp:effectExtent l="0" t="0" r="9525" b="9525"/>
                  <wp:docPr id="23" name="图片 16" descr="http://www.bspbp.com/uploadpic/zl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descr="http://www.bspbp.com/uploadpic/zl004.jpg"/>
                          <pic:cNvPicPr>
                            <a:picLocks noChangeAspect="1"/>
                          </pic:cNvPicPr>
                        </pic:nvPicPr>
                        <pic:blipFill>
                          <a:blip r:embed="rId18" cstate="print"/>
                          <a:stretch>
                            <a:fillRect/>
                          </a:stretch>
                        </pic:blipFill>
                        <pic:spPr>
                          <a:xfrm>
                            <a:off x="0" y="0"/>
                            <a:ext cx="523875" cy="695325"/>
                          </a:xfrm>
                          <a:prstGeom prst="rect">
                            <a:avLst/>
                          </a:prstGeom>
                          <a:noFill/>
                          <a:ln>
                            <a:noFill/>
                          </a:ln>
                        </pic:spPr>
                      </pic:pic>
                    </a:graphicData>
                  </a:graphic>
                </wp:inline>
              </w:drawing>
            </w:r>
          </w:p>
        </w:tc>
        <w:tc>
          <w:tcPr>
            <w:tcW w:w="2602" w:type="dxa"/>
            <w:vAlign w:val="center"/>
          </w:tcPr>
          <w:p>
            <w:pPr>
              <w:rPr>
                <w:rFonts w:ascii="宋体"/>
                <w:sz w:val="24"/>
              </w:rPr>
            </w:pPr>
          </w:p>
        </w:tc>
      </w:tr>
    </w:tbl>
    <w:p>
      <w:pPr>
        <w:spacing w:line="520" w:lineRule="exact"/>
        <w:ind w:firstLine="565" w:firstLineChars="202"/>
        <w:rPr>
          <w:rFonts w:ascii="仿宋" w:hAnsi="仿宋" w:eastAsia="仿宋"/>
          <w:sz w:val="28"/>
          <w:szCs w:val="28"/>
        </w:rPr>
      </w:pPr>
      <w:r>
        <w:rPr>
          <w:rFonts w:hint="eastAsia" w:ascii="仿宋_GB2312" w:eastAsia="仿宋_GB2312"/>
          <w:sz w:val="28"/>
          <w:szCs w:val="28"/>
        </w:rPr>
        <w:t>劳</w:t>
      </w:r>
      <w:r>
        <w:rPr>
          <w:rFonts w:hint="eastAsia" w:ascii="仿宋" w:hAnsi="仿宋" w:eastAsia="仿宋"/>
          <w:sz w:val="28"/>
          <w:szCs w:val="28"/>
        </w:rPr>
        <w:t>保用品由参赛队自带</w:t>
      </w:r>
      <w:r>
        <w:rPr>
          <w:rFonts w:ascii="仿宋" w:hAnsi="仿宋" w:eastAsia="仿宋"/>
          <w:sz w:val="28"/>
          <w:szCs w:val="28"/>
        </w:rPr>
        <w:t>，</w:t>
      </w:r>
      <w:r>
        <w:rPr>
          <w:rFonts w:hint="eastAsia" w:ascii="仿宋" w:hAnsi="仿宋" w:eastAsia="仿宋"/>
          <w:sz w:val="28"/>
          <w:szCs w:val="28"/>
        </w:rPr>
        <w:t>对未按要求佩戴相应防护用品的现象将进行制止，选手未更正前不得进入比赛现场，比赛过程中对违反安全与防护、违反操作规程者将阻止其比赛，但对违反者不扣分。</w:t>
      </w:r>
    </w:p>
    <w:p>
      <w:pPr>
        <w:spacing w:line="560" w:lineRule="exact"/>
        <w:ind w:firstLine="560" w:firstLineChars="200"/>
        <w:rPr>
          <w:rFonts w:ascii="仿宋" w:hAnsi="仿宋" w:eastAsia="仿宋"/>
          <w:sz w:val="28"/>
          <w:szCs w:val="28"/>
        </w:rPr>
      </w:pPr>
      <w:bookmarkStart w:id="6" w:name="_Toc135753280"/>
      <w:bookmarkStart w:id="7" w:name="_Toc49976107"/>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有毒有害物品的管理和限制</w:t>
      </w:r>
      <w:bookmarkEnd w:id="6"/>
      <w:bookmarkEnd w:id="7"/>
    </w:p>
    <w:p>
      <w:pPr>
        <w:spacing w:line="560" w:lineRule="exact"/>
        <w:ind w:firstLine="560" w:firstLineChars="200"/>
        <w:rPr>
          <w:rFonts w:ascii="仿宋" w:hAnsi="仿宋" w:eastAsia="仿宋"/>
          <w:sz w:val="28"/>
          <w:szCs w:val="28"/>
        </w:rPr>
      </w:pPr>
      <w:r>
        <w:rPr>
          <w:rFonts w:hint="eastAsia" w:ascii="仿宋" w:hAnsi="仿宋" w:eastAsia="仿宋" w:cs="仿宋"/>
          <w:bCs/>
          <w:kern w:val="0"/>
          <w:sz w:val="28"/>
          <w:szCs w:val="28"/>
        </w:rPr>
        <w:t>选手禁止携带易燃易爆物品见下图所示</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1"/>
        <w:gridCol w:w="1472"/>
        <w:gridCol w:w="1473"/>
        <w:gridCol w:w="2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1" w:type="dxa"/>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有害物品</w:t>
            </w:r>
          </w:p>
        </w:tc>
        <w:tc>
          <w:tcPr>
            <w:tcW w:w="2945" w:type="dxa"/>
            <w:gridSpan w:val="2"/>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图示</w:t>
            </w:r>
          </w:p>
        </w:tc>
        <w:tc>
          <w:tcPr>
            <w:tcW w:w="2467" w:type="dxa"/>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防锈清洗剂</w:t>
            </w:r>
          </w:p>
        </w:tc>
        <w:tc>
          <w:tcPr>
            <w:tcW w:w="2945" w:type="dxa"/>
            <w:gridSpan w:val="2"/>
            <w:vAlign w:val="center"/>
          </w:tcPr>
          <w:p>
            <w:pPr>
              <w:spacing w:line="520" w:lineRule="exact"/>
              <w:jc w:val="center"/>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1312" behindDoc="0" locked="0" layoutInCell="1" allowOverlap="1">
                  <wp:simplePos x="0" y="0"/>
                  <wp:positionH relativeFrom="column">
                    <wp:posOffset>413385</wp:posOffset>
                  </wp:positionH>
                  <wp:positionV relativeFrom="paragraph">
                    <wp:posOffset>85090</wp:posOffset>
                  </wp:positionV>
                  <wp:extent cx="596265" cy="596265"/>
                  <wp:effectExtent l="0" t="0" r="13335" b="13335"/>
                  <wp:wrapSquare wrapText="bothSides"/>
                  <wp:docPr id="24" name="图片 2" descr="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descr="WD"/>
                          <pic:cNvPicPr>
                            <a:picLocks noChangeAspect="1"/>
                          </pic:cNvPicPr>
                        </pic:nvPicPr>
                        <pic:blipFill>
                          <a:blip r:embed="rId21" cstate="print"/>
                          <a:stretch>
                            <a:fillRect/>
                          </a:stretch>
                        </pic:blipFill>
                        <pic:spPr>
                          <a:xfrm>
                            <a:off x="0" y="0"/>
                            <a:ext cx="596265" cy="596265"/>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7456" behindDoc="0" locked="0" layoutInCell="1" allowOverlap="1">
                  <wp:simplePos x="0" y="0"/>
                  <wp:positionH relativeFrom="column">
                    <wp:posOffset>869315</wp:posOffset>
                  </wp:positionH>
                  <wp:positionV relativeFrom="paragraph">
                    <wp:posOffset>60325</wp:posOffset>
                  </wp:positionV>
                  <wp:extent cx="371475" cy="350520"/>
                  <wp:effectExtent l="0" t="0" r="9525" b="11430"/>
                  <wp:wrapSquare wrapText="bothSides"/>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2" cstate="prin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宋体-18030"/>
                <w:sz w:val="24"/>
              </w:rPr>
              <w:t xml:space="preserve">禁止携带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酒精、汽油</w:t>
            </w:r>
          </w:p>
        </w:tc>
        <w:tc>
          <w:tcPr>
            <w:tcW w:w="1472" w:type="dxa"/>
            <w:vAlign w:val="center"/>
          </w:tcPr>
          <w:p>
            <w:pPr>
              <w:spacing w:line="520" w:lineRule="exact"/>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4384" behindDoc="0" locked="0" layoutInCell="1" allowOverlap="1">
                  <wp:simplePos x="0" y="0"/>
                  <wp:positionH relativeFrom="column">
                    <wp:posOffset>243840</wp:posOffset>
                  </wp:positionH>
                  <wp:positionV relativeFrom="paragraph">
                    <wp:posOffset>69850</wp:posOffset>
                  </wp:positionV>
                  <wp:extent cx="459740" cy="459740"/>
                  <wp:effectExtent l="0" t="0" r="16510" b="16510"/>
                  <wp:wrapNone/>
                  <wp:docPr id="29" name="图片 4" descr="酒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酒精"/>
                          <pic:cNvPicPr>
                            <a:picLocks noChangeAspect="1"/>
                          </pic:cNvPicPr>
                        </pic:nvPicPr>
                        <pic:blipFill>
                          <a:blip r:embed="rId23" cstate="print"/>
                          <a:stretch>
                            <a:fillRect/>
                          </a:stretch>
                        </pic:blipFill>
                        <pic:spPr>
                          <a:xfrm>
                            <a:off x="0" y="0"/>
                            <a:ext cx="459740" cy="459740"/>
                          </a:xfrm>
                          <a:prstGeom prst="rect">
                            <a:avLst/>
                          </a:prstGeom>
                          <a:noFill/>
                          <a:ln>
                            <a:noFill/>
                          </a:ln>
                        </pic:spPr>
                      </pic:pic>
                    </a:graphicData>
                  </a:graphic>
                </wp:anchor>
              </w:drawing>
            </w:r>
          </w:p>
        </w:tc>
        <w:tc>
          <w:tcPr>
            <w:tcW w:w="1473" w:type="dxa"/>
            <w:vAlign w:val="center"/>
          </w:tcPr>
          <w:p>
            <w:pPr>
              <w:spacing w:line="520" w:lineRule="exact"/>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5408" behindDoc="0" locked="0" layoutInCell="1" allowOverlap="1">
                  <wp:simplePos x="0" y="0"/>
                  <wp:positionH relativeFrom="column">
                    <wp:posOffset>123825</wp:posOffset>
                  </wp:positionH>
                  <wp:positionV relativeFrom="paragraph">
                    <wp:posOffset>83820</wp:posOffset>
                  </wp:positionV>
                  <wp:extent cx="499745" cy="446405"/>
                  <wp:effectExtent l="0" t="0" r="14605" b="10795"/>
                  <wp:wrapNone/>
                  <wp:docPr id="43" name="图片 5" descr="汽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 descr="汽油"/>
                          <pic:cNvPicPr>
                            <a:picLocks noChangeAspect="1"/>
                          </pic:cNvPicPr>
                        </pic:nvPicPr>
                        <pic:blipFill>
                          <a:blip r:embed="rId24" cstate="print"/>
                          <a:stretch>
                            <a:fillRect/>
                          </a:stretch>
                        </pic:blipFill>
                        <pic:spPr>
                          <a:xfrm>
                            <a:off x="0" y="0"/>
                            <a:ext cx="499745" cy="446405"/>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6432" behindDoc="0" locked="0" layoutInCell="1" allowOverlap="1">
                  <wp:simplePos x="0" y="0"/>
                  <wp:positionH relativeFrom="column">
                    <wp:posOffset>873125</wp:posOffset>
                  </wp:positionH>
                  <wp:positionV relativeFrom="paragraph">
                    <wp:posOffset>76200</wp:posOffset>
                  </wp:positionV>
                  <wp:extent cx="371475" cy="350520"/>
                  <wp:effectExtent l="0" t="0" r="9525" b="11430"/>
                  <wp:wrapSquare wrapText="bothSides"/>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22" cstate="prin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宋体-18030"/>
                <w:sz w:val="24"/>
              </w:rPr>
              <w:t>严禁携带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有毒有害物</w:t>
            </w:r>
          </w:p>
        </w:tc>
        <w:tc>
          <w:tcPr>
            <w:tcW w:w="2945" w:type="dxa"/>
            <w:gridSpan w:val="2"/>
            <w:vAlign w:val="center"/>
          </w:tcPr>
          <w:p>
            <w:pPr>
              <w:spacing w:line="520" w:lineRule="exact"/>
              <w:jc w:val="center"/>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2336" behindDoc="0" locked="0" layoutInCell="1" allowOverlap="1">
                  <wp:simplePos x="0" y="0"/>
                  <wp:positionH relativeFrom="column">
                    <wp:posOffset>429260</wp:posOffset>
                  </wp:positionH>
                  <wp:positionV relativeFrom="paragraph">
                    <wp:posOffset>93345</wp:posOffset>
                  </wp:positionV>
                  <wp:extent cx="775970" cy="397510"/>
                  <wp:effectExtent l="0" t="0" r="5080" b="2540"/>
                  <wp:wrapSquare wrapText="bothSides"/>
                  <wp:docPr id="45" name="图片 7" descr="有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descr="有毒"/>
                          <pic:cNvPicPr>
                            <a:picLocks noChangeAspect="1"/>
                          </pic:cNvPicPr>
                        </pic:nvPicPr>
                        <pic:blipFill>
                          <a:blip r:embed="rId25" cstate="print"/>
                          <a:srcRect b="14420"/>
                          <a:stretch>
                            <a:fillRect/>
                          </a:stretch>
                        </pic:blipFill>
                        <pic:spPr>
                          <a:xfrm>
                            <a:off x="0" y="0"/>
                            <a:ext cx="775970" cy="397510"/>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3360" behindDoc="0" locked="0" layoutInCell="1" allowOverlap="1">
                  <wp:simplePos x="0" y="0"/>
                  <wp:positionH relativeFrom="column">
                    <wp:posOffset>901065</wp:posOffset>
                  </wp:positionH>
                  <wp:positionV relativeFrom="paragraph">
                    <wp:posOffset>45085</wp:posOffset>
                  </wp:positionV>
                  <wp:extent cx="372110" cy="351155"/>
                  <wp:effectExtent l="0" t="0" r="8890" b="10795"/>
                  <wp:wrapSquare wrapText="bothSides"/>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22" cstate="print"/>
                          <a:stretch>
                            <a:fillRect/>
                          </a:stretch>
                        </pic:blipFill>
                        <pic:spPr>
                          <a:xfrm>
                            <a:off x="0" y="0"/>
                            <a:ext cx="372110" cy="351155"/>
                          </a:xfrm>
                          <a:prstGeom prst="rect">
                            <a:avLst/>
                          </a:prstGeom>
                          <a:noFill/>
                          <a:ln>
                            <a:noFill/>
                          </a:ln>
                        </pic:spPr>
                      </pic:pic>
                    </a:graphicData>
                  </a:graphic>
                </wp:anchor>
              </w:drawing>
            </w:r>
            <w:r>
              <w:rPr>
                <w:rFonts w:hint="eastAsia" w:ascii="仿宋" w:hAnsi="仿宋" w:eastAsia="仿宋" w:cs="宋体-18030"/>
                <w:sz w:val="24"/>
              </w:rPr>
              <w:t>严禁携带</w:t>
            </w:r>
          </w:p>
        </w:tc>
      </w:tr>
    </w:tbl>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bookmarkStart w:id="8" w:name="_Toc49976108"/>
      <w:bookmarkStart w:id="9" w:name="_Toc135753281"/>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ascii="仿宋" w:hAnsi="仿宋" w:eastAsia="仿宋"/>
          <w:sz w:val="28"/>
          <w:szCs w:val="28"/>
        </w:rPr>
        <w:t>医疗设备和措施</w:t>
      </w:r>
      <w:bookmarkEnd w:id="8"/>
      <w:bookmarkEnd w:id="9"/>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赛场配备医护人员和必须的药品，</w:t>
      </w:r>
      <w:r>
        <w:rPr>
          <w:rFonts w:ascii="仿宋" w:hAnsi="仿宋" w:eastAsia="仿宋"/>
          <w:sz w:val="28"/>
          <w:szCs w:val="28"/>
        </w:rPr>
        <w:t>确保</w:t>
      </w:r>
      <w:r>
        <w:rPr>
          <w:rFonts w:hint="eastAsia" w:ascii="仿宋" w:hAnsi="仿宋" w:eastAsia="仿宋"/>
          <w:sz w:val="28"/>
          <w:szCs w:val="28"/>
        </w:rPr>
        <w:t>比赛顺利</w:t>
      </w:r>
      <w:r>
        <w:rPr>
          <w:rFonts w:ascii="仿宋" w:hAnsi="仿宋" w:eastAsia="仿宋"/>
          <w:sz w:val="28"/>
          <w:szCs w:val="28"/>
        </w:rPr>
        <w:t>进行</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二</w:t>
      </w:r>
      <w:r>
        <w:rPr>
          <w:rFonts w:ascii="仿宋" w:hAnsi="仿宋" w:eastAsia="仿宋"/>
          <w:b/>
          <w:bCs/>
          <w:sz w:val="28"/>
          <w:szCs w:val="28"/>
        </w:rPr>
        <w:t>）赛场安全要求</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未经允许不得使用与移动竞赛场内的任何设施设备（包括消防器材等)，工具使用后放回原处。</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非工作人员禁止进入赛场。</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选手在竞赛中必须遵守赛场的各项规章制度与操作规程，安全</w:t>
      </w:r>
      <w:r>
        <w:rPr>
          <w:rFonts w:hint="eastAsia" w:ascii="仿宋" w:hAnsi="仿宋" w:eastAsia="仿宋"/>
          <w:sz w:val="28"/>
          <w:szCs w:val="28"/>
        </w:rPr>
        <w:t>、</w:t>
      </w:r>
      <w:r>
        <w:rPr>
          <w:rFonts w:ascii="仿宋" w:hAnsi="仿宋" w:eastAsia="仿宋"/>
          <w:sz w:val="28"/>
          <w:szCs w:val="28"/>
        </w:rPr>
        <w:t>合理的使用各种设施设备与工具，出现严重违章操作加工设备的，裁判视情节轻重进行批评与终止比赛。</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选手参加实际操作竞赛前，应由参赛</w:t>
      </w:r>
      <w:r>
        <w:rPr>
          <w:rFonts w:hint="eastAsia" w:ascii="仿宋" w:hAnsi="仿宋" w:eastAsia="仿宋"/>
          <w:sz w:val="28"/>
          <w:szCs w:val="28"/>
        </w:rPr>
        <w:t>单位</w:t>
      </w:r>
      <w:r>
        <w:rPr>
          <w:rFonts w:ascii="仿宋" w:hAnsi="仿宋" w:eastAsia="仿宋"/>
          <w:sz w:val="28"/>
          <w:szCs w:val="28"/>
        </w:rPr>
        <w:t>进行安全教育。竞赛中如发现问题应及时解决，无法解决的问题应及时向裁判员报告，裁判员视情况予以判定，并协调处理。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参赛选手不得触动非竞赛用仪器设备，对竞赛仪器设备造成损坏，由当事人单位承担赔偿责任（视情节而定），并通报批评；参赛选手若出现恶意破坏仪器设备等情节严重者将依法处理。</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比赛期间</w:t>
      </w:r>
      <w:r>
        <w:rPr>
          <w:rFonts w:hint="eastAsia" w:ascii="仿宋" w:hAnsi="仿宋" w:eastAsia="仿宋"/>
          <w:sz w:val="28"/>
          <w:szCs w:val="28"/>
        </w:rPr>
        <w:t>禁止车辆和无关人员</w:t>
      </w:r>
      <w:r>
        <w:rPr>
          <w:rFonts w:ascii="仿宋" w:hAnsi="仿宋" w:eastAsia="仿宋"/>
          <w:sz w:val="28"/>
          <w:szCs w:val="28"/>
        </w:rPr>
        <w:t>进入赛区</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在比赛开始前，选手要认真阅读场地内张贴的《入场须知》与应急疏散图。</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各类人员须严格遵守赛场规则，严禁携带比赛严令禁止的物品入内。</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ascii="仿宋" w:hAnsi="仿宋" w:eastAsia="仿宋"/>
          <w:sz w:val="28"/>
          <w:szCs w:val="28"/>
        </w:rPr>
        <w:t>严禁携带易燃易爆等危险品入内。</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ascii="仿宋" w:hAnsi="仿宋" w:eastAsia="仿宋"/>
          <w:sz w:val="28"/>
          <w:szCs w:val="28"/>
        </w:rPr>
        <w:t>安保人员发现不安全隐患及时通报赛场负责人员。</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11</w:t>
      </w:r>
      <w:r>
        <w:rPr>
          <w:rFonts w:hint="eastAsia" w:ascii="仿宋" w:hAnsi="仿宋" w:eastAsia="仿宋"/>
          <w:sz w:val="28"/>
          <w:szCs w:val="28"/>
          <w:lang w:val="en-US" w:eastAsia="zh-CN"/>
        </w:rPr>
        <w:t>.</w:t>
      </w:r>
      <w:r>
        <w:rPr>
          <w:rFonts w:ascii="仿宋" w:hAnsi="仿宋" w:eastAsia="仿宋"/>
          <w:sz w:val="28"/>
          <w:szCs w:val="28"/>
        </w:rPr>
        <w:t>如遇突发严重事件，在安保人员指挥下，迅速按紧急疏散路线撤离现场。</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三</w:t>
      </w:r>
      <w:r>
        <w:rPr>
          <w:rFonts w:ascii="仿宋" w:hAnsi="仿宋" w:eastAsia="仿宋"/>
          <w:b/>
          <w:bCs/>
          <w:sz w:val="28"/>
          <w:szCs w:val="28"/>
        </w:rPr>
        <w:t>)机床操作注意事项</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操作机床时应穿好工作服，安全鞋，衣冠端正，并戴好安全帽及防护镜；严禁戴手套、戒指、挂坠等物品操作机床</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严禁移动或损坏安装在机床上的警告牌</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操作者应根据机床使用性能，熟悉本机床的一般性能与结构，禁止超性能使用</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机床开始工作前要认真检查手柄位置是否正常</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使用的刀具应与机床允许的规格相符，严重破损的刀具要及时更换</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夹头扳手应随手取下，不要遗忘在卡盘上</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检查卡盘或虎钳夹紧工件的状态</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hint="eastAsia" w:ascii="仿宋" w:hAnsi="仿宋" w:eastAsia="仿宋"/>
          <w:sz w:val="28"/>
          <w:szCs w:val="28"/>
        </w:rPr>
        <w:t>铁</w:t>
      </w:r>
      <w:r>
        <w:rPr>
          <w:rFonts w:ascii="仿宋" w:hAnsi="仿宋" w:eastAsia="仿宋"/>
          <w:sz w:val="28"/>
          <w:szCs w:val="28"/>
        </w:rPr>
        <w:t>屑必须要用铁钩子或毛刷来清理，严谨徒手抓取</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ascii="仿宋" w:hAnsi="仿宋" w:eastAsia="仿宋"/>
          <w:sz w:val="28"/>
          <w:szCs w:val="28"/>
        </w:rPr>
        <w:t>禁止用手或其它任何方式接触正在旋转的主轴，工件或其它运动部位</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ascii="仿宋" w:hAnsi="仿宋" w:eastAsia="仿宋"/>
          <w:sz w:val="28"/>
          <w:szCs w:val="28"/>
        </w:rPr>
        <w:t>加工过程中禁止测量工件、用棉纱擦拭工件及清扫机床</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11</w:t>
      </w:r>
      <w:r>
        <w:rPr>
          <w:rFonts w:hint="eastAsia" w:ascii="仿宋" w:hAnsi="仿宋" w:eastAsia="仿宋"/>
          <w:sz w:val="28"/>
          <w:szCs w:val="28"/>
          <w:lang w:val="en-US" w:eastAsia="zh-CN"/>
        </w:rPr>
        <w:t>.</w:t>
      </w:r>
      <w:r>
        <w:rPr>
          <w:rFonts w:ascii="仿宋" w:hAnsi="仿宋" w:eastAsia="仿宋"/>
          <w:sz w:val="28"/>
          <w:szCs w:val="28"/>
        </w:rPr>
        <w:t>运转中操作者不得离开岗位，机床发生异常立即停车</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12</w:t>
      </w:r>
      <w:r>
        <w:rPr>
          <w:rFonts w:hint="eastAsia" w:ascii="仿宋" w:hAnsi="仿宋" w:eastAsia="仿宋"/>
          <w:sz w:val="28"/>
          <w:szCs w:val="28"/>
          <w:lang w:val="en-US" w:eastAsia="zh-CN"/>
        </w:rPr>
        <w:t>.</w:t>
      </w:r>
      <w:r>
        <w:rPr>
          <w:rFonts w:ascii="仿宋" w:hAnsi="仿宋" w:eastAsia="仿宋"/>
          <w:sz w:val="28"/>
          <w:szCs w:val="28"/>
        </w:rPr>
        <w:t>选手必须在操作步骤完全清楚时进行操作，禁止在不知道规程的情况下进行尝试性操作，操作者如机床出现异常必须立即向裁判员报告</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13</w:t>
      </w:r>
      <w:r>
        <w:rPr>
          <w:rFonts w:hint="eastAsia" w:ascii="仿宋" w:hAnsi="仿宋" w:eastAsia="仿宋"/>
          <w:sz w:val="28"/>
          <w:szCs w:val="28"/>
          <w:lang w:val="en-US" w:eastAsia="zh-CN"/>
        </w:rPr>
        <w:t>.</w:t>
      </w:r>
      <w:r>
        <w:rPr>
          <w:rFonts w:ascii="仿宋" w:hAnsi="仿宋" w:eastAsia="仿宋"/>
          <w:sz w:val="28"/>
          <w:szCs w:val="28"/>
        </w:rPr>
        <w:t>加工过程中认真观察切削及冷却情况，确保机床、刀具的运行及工件的质量。防止铁屑、润滑油飞溅</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14</w:t>
      </w:r>
      <w:r>
        <w:rPr>
          <w:rFonts w:hint="eastAsia" w:ascii="仿宋" w:hAnsi="仿宋" w:eastAsia="仿宋"/>
          <w:sz w:val="28"/>
          <w:szCs w:val="28"/>
          <w:lang w:val="en-US" w:eastAsia="zh-CN"/>
        </w:rPr>
        <w:t>.</w:t>
      </w:r>
      <w:r>
        <w:rPr>
          <w:rFonts w:ascii="仿宋" w:hAnsi="仿宋" w:eastAsia="仿宋"/>
          <w:sz w:val="28"/>
          <w:szCs w:val="28"/>
        </w:rPr>
        <w:t>在加工过程中须暂停测量工件尺寸时，要待机床完全停止，主轴停 转后方可进行测量，以免发生人身伤害事故</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15</w:t>
      </w:r>
      <w:r>
        <w:rPr>
          <w:rFonts w:hint="eastAsia" w:ascii="仿宋" w:hAnsi="仿宋" w:eastAsia="仿宋"/>
          <w:sz w:val="28"/>
          <w:szCs w:val="28"/>
          <w:lang w:val="en-US" w:eastAsia="zh-CN"/>
        </w:rPr>
        <w:t>.</w:t>
      </w:r>
      <w:r>
        <w:rPr>
          <w:rFonts w:ascii="仿宋" w:hAnsi="仿宋" w:eastAsia="仿宋"/>
          <w:sz w:val="28"/>
          <w:szCs w:val="28"/>
        </w:rPr>
        <w:t>工件完成后，清除铁屑，擦拭机床，使机床与环境保持清洁状态。</w:t>
      </w:r>
    </w:p>
    <w:p>
      <w:pPr>
        <w:keepNext w:val="0"/>
        <w:keepLines w:val="0"/>
        <w:pageBreakBefore w:val="0"/>
        <w:widowControl w:val="0"/>
        <w:kinsoku/>
        <w:wordWrap/>
        <w:overflowPunct/>
        <w:topLinePunct w:val="0"/>
        <w:autoSpaceDE/>
        <w:autoSpaceDN/>
        <w:bidi w:val="0"/>
        <w:adjustRightInd/>
        <w:snapToGrid w:val="0"/>
        <w:spacing w:line="480" w:lineRule="exact"/>
        <w:ind w:left="319" w:leftChars="152" w:firstLine="280" w:firstLineChars="100"/>
        <w:textAlignment w:val="auto"/>
        <w:rPr>
          <w:rFonts w:ascii="黑体" w:hAnsi="黑体" w:eastAsia="黑体" w:cs="LinTimes"/>
          <w:sz w:val="28"/>
          <w:szCs w:val="28"/>
        </w:rPr>
      </w:pPr>
      <w:r>
        <w:rPr>
          <w:rFonts w:ascii="黑体" w:hAnsi="黑体" w:eastAsia="黑体" w:cs="LinTimes"/>
          <w:sz w:val="28"/>
          <w:szCs w:val="28"/>
        </w:rPr>
        <w:t>十、申诉与仲裁</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（一）申诉</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参赛队对不符合竞赛规定的设备、工具、有失公正的评判、奖励，以及对工作人员的违规行为等，均可提出申诉。</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pacing w:val="-6"/>
          <w:sz w:val="28"/>
          <w:szCs w:val="28"/>
        </w:rPr>
      </w:pPr>
      <w:r>
        <w:rPr>
          <w:rFonts w:hint="eastAsia" w:ascii="仿宋" w:hAnsi="仿宋" w:eastAsia="仿宋"/>
          <w:sz w:val="28"/>
          <w:szCs w:val="28"/>
        </w:rPr>
        <w:t>2</w:t>
      </w:r>
      <w:r>
        <w:rPr>
          <w:rFonts w:hint="eastAsia" w:ascii="仿宋" w:hAnsi="仿宋" w:eastAsia="仿宋"/>
          <w:spacing w:val="-6"/>
          <w:sz w:val="28"/>
          <w:szCs w:val="28"/>
          <w:lang w:val="en-US" w:eastAsia="zh-CN"/>
        </w:rPr>
        <w:t>.</w:t>
      </w:r>
      <w:r>
        <w:rPr>
          <w:rFonts w:ascii="仿宋" w:hAnsi="仿宋" w:eastAsia="仿宋"/>
          <w:spacing w:val="-6"/>
          <w:sz w:val="28"/>
          <w:szCs w:val="28"/>
        </w:rPr>
        <w:t>申诉应在竞赛结束后2小时内提出，超过时效将不予受理。申诉时，应按照规定的程序由参赛队领队向赛项仲裁工作组递交书面申诉报告。报告应对申诉事件的现象、发生的时间、涉及到的人员、申诉依据与理由等进行充分、实事求是的叙述。事实依据不充分、仅凭主观臆断的申诉将不予受理。申诉报告须有申诉的参赛选手、领队签名。</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赛项仲裁工作组收到申诉报告后，应根据申诉事由进行审查，6小时内书面通知申诉方，告知申诉处理结果。如受理申诉，要通知申诉方举办听证会的时间和地点；如不受理申诉，要说明理由。</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申诉人不得无故拒不接受处理结果，不允许采取过激行为刁难、攻击工作人员，否则视为放弃申诉。申诉人不满意赛项仲裁工作组的处理结果的，可向大赛</w:t>
      </w:r>
      <w:r>
        <w:rPr>
          <w:rFonts w:hint="eastAsia" w:ascii="仿宋" w:hAnsi="仿宋" w:eastAsia="仿宋"/>
          <w:sz w:val="28"/>
          <w:szCs w:val="28"/>
        </w:rPr>
        <w:t>组委</w:t>
      </w:r>
      <w:r>
        <w:rPr>
          <w:rFonts w:ascii="仿宋" w:hAnsi="仿宋" w:eastAsia="仿宋"/>
          <w:sz w:val="28"/>
          <w:szCs w:val="28"/>
        </w:rPr>
        <w:t>会提出复议申请。</w:t>
      </w:r>
    </w:p>
    <w:p>
      <w:pPr>
        <w:keepNext w:val="0"/>
        <w:keepLines w:val="0"/>
        <w:pageBreakBefore w:val="0"/>
        <w:widowControl w:val="0"/>
        <w:kinsoku/>
        <w:wordWrap/>
        <w:overflowPunct/>
        <w:topLinePunct w:val="0"/>
        <w:autoSpaceDE/>
        <w:autoSpaceDN/>
        <w:bidi w:val="0"/>
        <w:adjustRightIn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（二）仲裁</w:t>
      </w:r>
    </w:p>
    <w:p>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sz w:val="28"/>
          <w:szCs w:val="28"/>
        </w:rPr>
      </w:pPr>
      <w:r>
        <w:rPr>
          <w:rFonts w:ascii="仿宋" w:hAnsi="仿宋" w:eastAsia="仿宋"/>
          <w:sz w:val="28"/>
          <w:szCs w:val="28"/>
        </w:rPr>
        <w:t>赛项设仲裁工作组，赛项仲裁工作组接受由代表队领队提出的对裁判结果的申诉。赛项仲裁工作组在接到申诉后的 2 小时内组织复议，并及时反馈复议结果，仲裁工作组的仲裁结果为最终结果</w:t>
      </w:r>
      <w:r>
        <w:rPr>
          <w:rFonts w:hint="eastAsia" w:ascii="仿宋" w:hAnsi="仿宋" w:eastAsia="仿宋"/>
          <w:sz w:val="28"/>
          <w:szCs w:val="28"/>
        </w:rPr>
        <w:t>。</w:t>
      </w:r>
    </w:p>
    <w:sectPr>
      <w:pgSz w:w="11906" w:h="16838"/>
      <w:pgMar w:top="2098" w:right="1474" w:bottom="1984" w:left="1587" w:header="851" w:footer="1417"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LinTimes">
    <w:altName w:val="Segoe Print"/>
    <w:panose1 w:val="00000000000000000000"/>
    <w:charset w:val="00"/>
    <w:family w:val="auto"/>
    <w:pitch w:val="default"/>
    <w:sig w:usb0="00000000" w:usb1="00000000" w:usb2="00000008" w:usb3="00000000" w:csb0="400001FF" w:csb1="FFFF0000"/>
  </w:font>
  <w:font w:name="宋体-18030">
    <w:altName w:val="宋体"/>
    <w:panose1 w:val="00000000000000000000"/>
    <w:charset w:val="86"/>
    <w:family w:val="modern"/>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rKetOcBAADIAwAADgAAAGRycy9lMm9Eb2MueG1srVPBjtMwEL0j8Q+W&#10;7zRpxaISNV0B1SIkBEgLH+A6TmPJ9lget0n5APgDTly48139DsZO00W7lz3sJRl7Zt7MezNeXQ/W&#10;sIMKqMHVfD4rOVNOQqPdrubfvt68WHKGUbhGGHCq5keF/Hr9/Nmq95VaQAemUYERiMOq9zXvYvRV&#10;UaDslBU4A68cOVsIVkQ6hl3RBNETujXFoixfFT2ExgeQCpFuN6OTnxHDYwChbbVUG5B7q1wcUYMy&#10;IhIl7LRHvs7dtq2S8XPboorM1JyYxvylImRv07dYr0S1C8J3Wp5bEI9p4R4nK7SjoheojYiC7YN+&#10;AGW1DIDQxpkEW4xEsiLEYl7e0+a2E15lLiQ1+ovo+HSw8tPhS2C6oU14yZkTliZ++vXz9Pvv6c8P&#10;Nk/69B4rCrv1FBiHtzBQ7HSPdJloD22w6U+EGPlJ3eNFXTVEJlPScrFcluSS5JsOhF/cpfuA8b0C&#10;y5JR80Djy6qKw0eMY+gUkqo5uNHG5BEax/qav75aXOWEi4fAjaMaicTYbLLisB3OzLbQHIkYPQgq&#10;2EH4zllP61BzR9vPmfngSO20OZMRJmM7GcJJSqx55Gw038Vxw/Y+6F2Xdy61i/7NPlLLmUlqY6x9&#10;7o4GnLU4L2PaoP/POeruAa7/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Osp605wEAAMgD&#10;AAAOAAAAAAAAAAEAIAAAAB4BAABkcnMvZTJvRG9jLnhtbFBLBQYAAAAABgAGAFkBAAB3BQAAAAA=&#10;">
              <v:fill on="f" focussize="0,0"/>
              <v:stroke on="f"/>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5"/>
      <w:tabs>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Zjg1N2RhNjY1NTFjZWIxZTVjYjI4YmE4ODBlYjgifQ=="/>
  </w:docVars>
  <w:rsids>
    <w:rsidRoot w:val="00730AF8"/>
    <w:rsid w:val="00123DE9"/>
    <w:rsid w:val="00730AF8"/>
    <w:rsid w:val="007611EA"/>
    <w:rsid w:val="008208FB"/>
    <w:rsid w:val="00A86E5A"/>
    <w:rsid w:val="00DC255C"/>
    <w:rsid w:val="00E646D3"/>
    <w:rsid w:val="00E82E0B"/>
    <w:rsid w:val="05AA5EAD"/>
    <w:rsid w:val="255D5D16"/>
    <w:rsid w:val="654F62AC"/>
    <w:rsid w:val="69895695"/>
    <w:rsid w:val="780E7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link w:val="13"/>
    <w:autoRedefine/>
    <w:qFormat/>
    <w:uiPriority w:val="0"/>
    <w:pPr>
      <w:spacing w:after="0" w:line="560" w:lineRule="exact"/>
      <w:ind w:firstLine="721" w:firstLineChars="200"/>
    </w:pPr>
    <w:rPr>
      <w:rFonts w:eastAsia="仿宋_GB2312"/>
      <w:sz w:val="32"/>
    </w:rPr>
  </w:style>
  <w:style w:type="paragraph" w:styleId="3">
    <w:name w:val="Body Text"/>
    <w:basedOn w:val="1"/>
    <w:link w:val="12"/>
    <w:autoRedefine/>
    <w:unhideWhenUsed/>
    <w:qFormat/>
    <w:uiPriority w:val="0"/>
    <w:pPr>
      <w:spacing w:after="120"/>
    </w:pPr>
  </w:style>
  <w:style w:type="paragraph" w:styleId="4">
    <w:name w:val="Balloon Text"/>
    <w:basedOn w:val="1"/>
    <w:link w:val="16"/>
    <w:semiHidden/>
    <w:unhideWhenUsed/>
    <w:qFormat/>
    <w:uiPriority w:val="99"/>
    <w:rPr>
      <w:sz w:val="18"/>
      <w:szCs w:val="18"/>
    </w:rPr>
  </w:style>
  <w:style w:type="paragraph" w:styleId="5">
    <w:name w:val="footer"/>
    <w:basedOn w:val="1"/>
    <w:link w:val="14"/>
    <w:autoRedefine/>
    <w:qFormat/>
    <w:uiPriority w:val="99"/>
    <w:pPr>
      <w:tabs>
        <w:tab w:val="center" w:pos="4153"/>
        <w:tab w:val="right" w:pos="8306"/>
      </w:tabs>
      <w:snapToGrid w:val="0"/>
      <w:jc w:val="left"/>
    </w:pPr>
    <w:rPr>
      <w:kern w:val="0"/>
      <w:sz w:val="18"/>
      <w:szCs w:val="18"/>
    </w:rPr>
  </w:style>
  <w:style w:type="paragraph" w:styleId="6">
    <w:name w:val="header"/>
    <w:basedOn w:val="1"/>
    <w:link w:val="17"/>
    <w:autoRedefine/>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39"/>
  </w:style>
  <w:style w:type="paragraph" w:styleId="8">
    <w:name w:val="toc 2"/>
    <w:basedOn w:val="1"/>
    <w:next w:val="1"/>
    <w:autoRedefine/>
    <w:qFormat/>
    <w:uiPriority w:val="39"/>
    <w:pPr>
      <w:ind w:left="420" w:leftChars="200"/>
    </w:pPr>
  </w:style>
  <w:style w:type="character" w:styleId="11">
    <w:name w:val="Hyperlink"/>
    <w:autoRedefine/>
    <w:qFormat/>
    <w:uiPriority w:val="99"/>
    <w:rPr>
      <w:rFonts w:ascii="Calibri" w:hAnsi="Calibri" w:eastAsia="宋体" w:cs="Times New Roman"/>
      <w:color w:val="0000FF"/>
      <w:u w:val="single"/>
    </w:rPr>
  </w:style>
  <w:style w:type="character" w:customStyle="1" w:styleId="12">
    <w:name w:val="正文文本 Char"/>
    <w:basedOn w:val="10"/>
    <w:link w:val="3"/>
    <w:qFormat/>
    <w:uiPriority w:val="0"/>
    <w:rPr>
      <w:rFonts w:ascii="Calibri" w:hAnsi="Calibri" w:eastAsia="宋体" w:cs="Times New Roman"/>
      <w:szCs w:val="24"/>
    </w:rPr>
  </w:style>
  <w:style w:type="character" w:customStyle="1" w:styleId="13">
    <w:name w:val="正文首行缩进 Char"/>
    <w:basedOn w:val="12"/>
    <w:link w:val="2"/>
    <w:autoRedefine/>
    <w:qFormat/>
    <w:uiPriority w:val="0"/>
    <w:rPr>
      <w:rFonts w:eastAsia="仿宋_GB2312"/>
      <w:sz w:val="32"/>
    </w:rPr>
  </w:style>
  <w:style w:type="character" w:customStyle="1" w:styleId="14">
    <w:name w:val="页脚 Char"/>
    <w:basedOn w:val="10"/>
    <w:link w:val="5"/>
    <w:autoRedefine/>
    <w:qFormat/>
    <w:uiPriority w:val="99"/>
    <w:rPr>
      <w:rFonts w:ascii="Calibri" w:hAnsi="Calibri" w:eastAsia="宋体" w:cs="Times New Roman"/>
      <w:kern w:val="0"/>
      <w:sz w:val="18"/>
      <w:szCs w:val="18"/>
    </w:rPr>
  </w:style>
  <w:style w:type="table" w:customStyle="1" w:styleId="15">
    <w:name w:val="Table Normal"/>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6">
    <w:name w:val="批注框文本 Char"/>
    <w:basedOn w:val="10"/>
    <w:link w:val="4"/>
    <w:autoRedefine/>
    <w:semiHidden/>
    <w:qFormat/>
    <w:uiPriority w:val="99"/>
    <w:rPr>
      <w:rFonts w:ascii="Calibri" w:hAnsi="Calibri" w:eastAsia="宋体" w:cs="Times New Roman"/>
      <w:sz w:val="18"/>
      <w:szCs w:val="18"/>
    </w:rPr>
  </w:style>
  <w:style w:type="character" w:customStyle="1" w:styleId="17">
    <w:name w:val="页眉 Char"/>
    <w:basedOn w:val="10"/>
    <w:link w:val="6"/>
    <w:autoRedefine/>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emf"/><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1315</Words>
  <Characters>7501</Characters>
  <Lines>62</Lines>
  <Paragraphs>17</Paragraphs>
  <TotalTime>0</TotalTime>
  <ScaleCrop>false</ScaleCrop>
  <LinksUpToDate>false</LinksUpToDate>
  <CharactersWithSpaces>8799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2024-04-22T02:05:00Z</dcterms:created>
  <dc:creator>admin</dc:creator>
  <cp:lastModifiedBy>tsw1</cp:lastModifiedBy>
  <cp:lastPrinted>2024-05-07T02:56:00Z</cp:lastPrinted>
  <dcterms:modified xsi:type="dcterms:W3CDTF">2024-05-09T02:25:25Z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AA3BE12EF51848469A225681964D9F9C_13</vt:lpwstr>
  </property>
</Properties>
</file>