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4F853">
      <w:pPr>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cs="Times New Roman"/>
          <w:sz w:val="44"/>
          <w:szCs w:val="44"/>
        </w:rPr>
      </w:pPr>
      <w:r>
        <w:rPr>
          <w:rFonts w:hint="eastAsia" w:ascii="方正小标宋简体" w:hAnsi="宋体" w:eastAsia="方正小标宋简体" w:cs="Times New Roman"/>
          <w:sz w:val="44"/>
          <w:szCs w:val="44"/>
        </w:rPr>
        <w:t>无人机驾驶员工种技术文件</w:t>
      </w:r>
    </w:p>
    <w:p w14:paraId="0539C196">
      <w:pPr>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cs="Times New Roman"/>
          <w:sz w:val="44"/>
          <w:szCs w:val="44"/>
        </w:rPr>
      </w:pPr>
    </w:p>
    <w:p w14:paraId="69BA25F5">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bCs/>
          <w:spacing w:val="0"/>
          <w:sz w:val="32"/>
          <w:szCs w:val="32"/>
        </w:rPr>
      </w:pPr>
      <w:r>
        <w:rPr>
          <w:rFonts w:hint="eastAsia" w:ascii="黑体" w:hAnsi="黑体" w:eastAsia="黑体" w:cs="黑体"/>
          <w:b w:val="0"/>
          <w:bCs w:val="0"/>
          <w:spacing w:val="0"/>
          <w:sz w:val="32"/>
          <w:szCs w:val="32"/>
        </w:rPr>
        <w:t>一、竞赛形式</w:t>
      </w:r>
    </w:p>
    <w:p w14:paraId="11EE30D5">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本赛项采取个人赛形式。</w:t>
      </w:r>
      <w:r>
        <w:rPr>
          <w:rFonts w:hint="default" w:ascii="Times New Roman" w:hAnsi="Times New Roman" w:eastAsia="仿宋_GB2312" w:cs="Times New Roman"/>
          <w:color w:val="auto"/>
          <w:spacing w:val="0"/>
          <w:sz w:val="32"/>
          <w:szCs w:val="32"/>
          <w:lang w:val="en-US" w:eastAsia="zh-CN"/>
        </w:rPr>
        <w:t>无人机驾驶员</w:t>
      </w:r>
      <w:r>
        <w:rPr>
          <w:rFonts w:hint="default" w:ascii="Times New Roman" w:hAnsi="Times New Roman" w:eastAsia="仿宋_GB2312" w:cs="Times New Roman"/>
          <w:color w:val="auto"/>
          <w:spacing w:val="0"/>
          <w:sz w:val="32"/>
          <w:szCs w:val="32"/>
          <w:lang w:eastAsia="zh-CN"/>
        </w:rPr>
        <w:t>报名人员必须持有民航局</w:t>
      </w:r>
      <w:r>
        <w:rPr>
          <w:rFonts w:hint="default" w:ascii="Times New Roman" w:hAnsi="Times New Roman" w:eastAsia="仿宋_GB2312" w:cs="Times New Roman"/>
          <w:color w:val="auto"/>
          <w:spacing w:val="0"/>
          <w:sz w:val="32"/>
          <w:szCs w:val="32"/>
          <w:lang w:val="en-US" w:eastAsia="zh-CN"/>
        </w:rPr>
        <w:t>CAAC无人机操控员</w:t>
      </w:r>
      <w:r>
        <w:rPr>
          <w:rFonts w:hint="default" w:ascii="Times New Roman" w:hAnsi="Times New Roman" w:eastAsia="仿宋_GB2312" w:cs="Times New Roman"/>
          <w:color w:val="auto"/>
          <w:spacing w:val="0"/>
          <w:sz w:val="32"/>
          <w:szCs w:val="32"/>
          <w:lang w:eastAsia="zh-CN"/>
        </w:rPr>
        <w:t>执照。</w:t>
      </w:r>
    </w:p>
    <w:p w14:paraId="3B88718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rPr>
      </w:pPr>
      <w:r>
        <w:rPr>
          <w:rFonts w:hint="default" w:ascii="黑体" w:hAnsi="黑体" w:eastAsia="黑体" w:cs="黑体"/>
          <w:b w:val="0"/>
          <w:bCs w:val="0"/>
          <w:spacing w:val="0"/>
          <w:sz w:val="32"/>
          <w:szCs w:val="32"/>
        </w:rPr>
        <w:t>二、竞赛内容</w:t>
      </w:r>
    </w:p>
    <w:p w14:paraId="02C9991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rPr>
        <w:t>实操项目</w:t>
      </w:r>
      <w:r>
        <w:rPr>
          <w:rFonts w:hint="default" w:ascii="Times New Roman" w:hAnsi="Times New Roman" w:eastAsia="仿宋_GB2312" w:cs="Times New Roman"/>
          <w:spacing w:val="0"/>
          <w:sz w:val="32"/>
          <w:szCs w:val="32"/>
          <w:lang w:eastAsia="zh-CN"/>
        </w:rPr>
        <w:t>竞赛时长</w:t>
      </w:r>
      <w:r>
        <w:rPr>
          <w:rFonts w:hint="default" w:ascii="Times New Roman" w:hAnsi="Times New Roman" w:eastAsia="仿宋_GB2312" w:cs="Times New Roman"/>
          <w:spacing w:val="0"/>
          <w:sz w:val="32"/>
          <w:szCs w:val="32"/>
          <w:highlight w:val="none"/>
          <w:lang w:val="en-US" w:eastAsia="zh-CN"/>
        </w:rPr>
        <w:t>30</w:t>
      </w:r>
      <w:r>
        <w:rPr>
          <w:rFonts w:hint="default" w:ascii="Times New Roman" w:hAnsi="Times New Roman" w:eastAsia="仿宋_GB2312" w:cs="Times New Roman"/>
          <w:spacing w:val="0"/>
          <w:sz w:val="32"/>
          <w:szCs w:val="32"/>
        </w:rPr>
        <w:t>分钟</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分值权重</w:t>
      </w:r>
      <w:r>
        <w:rPr>
          <w:rFonts w:hint="default" w:ascii="Times New Roman" w:hAnsi="Times New Roman"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0%</w:t>
      </w:r>
      <w:r>
        <w:rPr>
          <w:rFonts w:hint="default"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zh-CN"/>
        </w:rPr>
        <w:t>具体由</w:t>
      </w:r>
      <w:r>
        <w:rPr>
          <w:rFonts w:hint="default" w:ascii="Times New Roman" w:hAnsi="Times New Roman" w:eastAsia="仿宋_GB2312" w:cs="Times New Roman"/>
          <w:spacing w:val="0"/>
          <w:sz w:val="32"/>
          <w:szCs w:val="32"/>
          <w:lang w:eastAsia="zh-CN"/>
        </w:rPr>
        <w:t>陕西机电职业技术学院无人机学院</w:t>
      </w:r>
      <w:r>
        <w:rPr>
          <w:rFonts w:hint="eastAsia" w:ascii="Times New Roman" w:hAnsi="Times New Roman" w:eastAsia="仿宋_GB2312" w:cs="Times New Roman"/>
          <w:spacing w:val="0"/>
          <w:sz w:val="32"/>
          <w:szCs w:val="32"/>
          <w:lang w:eastAsia="zh-CN"/>
        </w:rPr>
        <w:t>承办</w:t>
      </w:r>
      <w:bookmarkStart w:id="0" w:name="_GoBack"/>
      <w:bookmarkEnd w:id="0"/>
      <w:r>
        <w:rPr>
          <w:rFonts w:hint="default" w:ascii="Times New Roman" w:hAnsi="Times New Roman" w:eastAsia="仿宋_GB2312" w:cs="Times New Roman"/>
          <w:spacing w:val="0"/>
          <w:sz w:val="32"/>
          <w:szCs w:val="32"/>
          <w:lang w:eastAsia="zh-CN"/>
        </w:rPr>
        <w:t>组织。</w:t>
      </w:r>
    </w:p>
    <w:p w14:paraId="6A248BE6">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spacing w:val="0"/>
          <w:sz w:val="32"/>
          <w:szCs w:val="32"/>
        </w:rPr>
      </w:pPr>
      <w:r>
        <w:rPr>
          <w:rFonts w:hint="eastAsia" w:ascii="楷体_GB2312" w:hAnsi="楷体_GB2312" w:eastAsia="楷体_GB2312" w:cs="楷体_GB2312"/>
          <w:b/>
          <w:spacing w:val="0"/>
          <w:sz w:val="32"/>
          <w:szCs w:val="32"/>
          <w:lang w:eastAsia="zh-CN"/>
        </w:rPr>
        <w:t>（一）</w:t>
      </w:r>
      <w:r>
        <w:rPr>
          <w:rFonts w:hint="eastAsia" w:ascii="楷体_GB2312" w:hAnsi="楷体_GB2312" w:eastAsia="楷体_GB2312" w:cs="楷体_GB2312"/>
          <w:b/>
          <w:spacing w:val="0"/>
          <w:sz w:val="32"/>
          <w:szCs w:val="32"/>
        </w:rPr>
        <w:t>实操考试</w:t>
      </w:r>
    </w:p>
    <w:p w14:paraId="63DAA3C6">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（1）采用技能竞赛组委会指定的无人机类型完成规定的动作。</w:t>
      </w:r>
    </w:p>
    <w:p w14:paraId="75C74ECB">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（2）赛题分数为100分，采用扣分制。</w:t>
      </w:r>
    </w:p>
    <w:p w14:paraId="4E69E46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（3）比赛时间：无人机实操比赛采取计时排名的方法，在组委会指定起降场地区域内完成。</w:t>
      </w:r>
    </w:p>
    <w:p w14:paraId="25DCD212">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spacing w:val="0"/>
          <w:sz w:val="32"/>
          <w:szCs w:val="32"/>
          <w:lang w:eastAsia="zh-CN"/>
        </w:rPr>
      </w:pPr>
      <w:r>
        <w:rPr>
          <w:rFonts w:hint="default" w:ascii="楷体_GB2312" w:hAnsi="楷体_GB2312" w:eastAsia="楷体_GB2312" w:cs="楷体_GB2312"/>
          <w:b/>
          <w:spacing w:val="0"/>
          <w:sz w:val="32"/>
          <w:szCs w:val="32"/>
          <w:lang w:eastAsia="zh-CN"/>
        </w:rPr>
        <w:t>（二）基本知识与能力要求</w:t>
      </w:r>
    </w:p>
    <w:p w14:paraId="44B9BB2E">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w:t>
      </w:r>
      <w:r>
        <w:rPr>
          <w:rFonts w:hint="eastAsia" w:ascii="Times New Roman" w:hAnsi="Times New Roman" w:eastAsia="仿宋_GB2312" w:cs="Times New Roman"/>
          <w:b/>
          <w:bCs/>
          <w:spacing w:val="0"/>
          <w:sz w:val="32"/>
          <w:szCs w:val="32"/>
          <w:lang w:val="en-US" w:eastAsia="zh-CN"/>
        </w:rPr>
        <w:t>1</w:t>
      </w:r>
      <w:r>
        <w:rPr>
          <w:rFonts w:hint="default" w:ascii="Times New Roman" w:hAnsi="Times New Roman" w:eastAsia="仿宋_GB2312" w:cs="Times New Roman"/>
          <w:b/>
          <w:bCs/>
          <w:spacing w:val="0"/>
          <w:sz w:val="32"/>
          <w:szCs w:val="32"/>
        </w:rPr>
        <w:t>）参赛选手应掌握的基本知识</w:t>
      </w:r>
    </w:p>
    <w:p w14:paraId="588666F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rPr>
        <w:t>充分了解多旋翼无人机技术基础、无人机结构与系统、无人机技术概论、空气动力学、通用航空知识。</w:t>
      </w:r>
    </w:p>
    <w:p w14:paraId="2B6646BC">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了解及掌握无人机相关系统的装配及调试，应用系统关键功能部件的安装与调试知识，包括传感器系统知识、标准及其使用说明，其机械系统的组装及调试等。</w:t>
      </w:r>
    </w:p>
    <w:p w14:paraId="262EE2B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掌握应用软件编写程序，并通过软件展现应用系统设备的动作流程及运行状态。</w:t>
      </w:r>
    </w:p>
    <w:p w14:paraId="45862731">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了解及掌握无人机的发展概况、工作原理、控制系统、环境应用技术、应用程序编写、数字传输系统、核心零配件器件、结构和负载等。</w:t>
      </w:r>
    </w:p>
    <w:p w14:paraId="72F2C190">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5</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了解无人机的应用与维护，设计相关知识、数据库相关知识、系统架构相关知识、通讯工作原理知识，人工智能+大数据综合数据相关软件知识等。</w:t>
      </w:r>
    </w:p>
    <w:p w14:paraId="6D468F0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6</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生产计划与控制基本知识、物流工程基本知识、质量管理基本知识等。</w:t>
      </w:r>
    </w:p>
    <w:p w14:paraId="6A4A4977">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7</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无人机控制系统其他相关新技术、新工艺、新设备等内容。</w:t>
      </w:r>
    </w:p>
    <w:p w14:paraId="5DE44E8E">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8</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安全文明生产与环境保护知识、职业道德基本知识。</w:t>
      </w:r>
    </w:p>
    <w:p w14:paraId="08826584">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w:t>
      </w:r>
      <w:r>
        <w:rPr>
          <w:rFonts w:hint="eastAsia" w:ascii="Times New Roman" w:hAnsi="Times New Roman" w:eastAsia="仿宋_GB2312" w:cs="Times New Roman"/>
          <w:b/>
          <w:bCs/>
          <w:spacing w:val="0"/>
          <w:sz w:val="32"/>
          <w:szCs w:val="32"/>
          <w:lang w:val="en-US" w:eastAsia="zh-CN"/>
        </w:rPr>
        <w:t>2</w:t>
      </w:r>
      <w:r>
        <w:rPr>
          <w:rFonts w:hint="default" w:ascii="Times New Roman" w:hAnsi="Times New Roman" w:eastAsia="仿宋_GB2312" w:cs="Times New Roman"/>
          <w:b/>
          <w:bCs/>
          <w:spacing w:val="0"/>
          <w:sz w:val="32"/>
          <w:szCs w:val="32"/>
        </w:rPr>
        <w:t>）参赛选手应具备的技术能力：</w:t>
      </w:r>
    </w:p>
    <w:p w14:paraId="00231EC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根据任务规划航线，整理并分析采集数据，根据飞行环境和气象条件校对飞行参数，操控无人机完成既定飞行任务；</w:t>
      </w:r>
    </w:p>
    <w:p w14:paraId="2F694DE7">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工业无人机软件调试技术，动力系统组装检测技术；</w:t>
      </w:r>
    </w:p>
    <w:p w14:paraId="490874A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评价飞行结果和工作效果，检查、维护、整理无人机及任务设备；</w:t>
      </w:r>
    </w:p>
    <w:p w14:paraId="1C10ED3B">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安装、调试无人机电机、动力设备、桨叶及相应任务设备；</w:t>
      </w:r>
    </w:p>
    <w:p w14:paraId="0F19FDE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5</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自动巡线调试与操作技术，对行业发展有积极见解；</w:t>
      </w:r>
    </w:p>
    <w:p w14:paraId="4ADF69B0">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6</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工业无人机多机协作能力，安全防护能力。</w:t>
      </w:r>
    </w:p>
    <w:p w14:paraId="5F3903D8">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w:t>
      </w:r>
      <w:r>
        <w:rPr>
          <w:rFonts w:hint="eastAsia" w:ascii="Times New Roman" w:hAnsi="Times New Roman" w:eastAsia="仿宋_GB2312" w:cs="Times New Roman"/>
          <w:b/>
          <w:bCs/>
          <w:spacing w:val="0"/>
          <w:sz w:val="32"/>
          <w:szCs w:val="32"/>
          <w:lang w:val="en-US" w:eastAsia="zh-CN"/>
        </w:rPr>
        <w:t>3</w:t>
      </w:r>
      <w:r>
        <w:rPr>
          <w:rFonts w:hint="default" w:ascii="Times New Roman" w:hAnsi="Times New Roman" w:eastAsia="仿宋_GB2312" w:cs="Times New Roman"/>
          <w:b/>
          <w:bCs/>
          <w:spacing w:val="0"/>
          <w:sz w:val="32"/>
          <w:szCs w:val="32"/>
        </w:rPr>
        <w:t>）参赛选手的职业素养与安全要求</w:t>
      </w:r>
    </w:p>
    <w:p w14:paraId="70882E7B">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严格遵循相关职业素养要求及安全规范，安全文明参赛；操作规范；</w:t>
      </w:r>
    </w:p>
    <w:p w14:paraId="3315761A">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工具摆放整齐；着装规范；资料归档完整等。严格防止无人机运动造成人身伤害。</w:t>
      </w:r>
    </w:p>
    <w:p w14:paraId="43040647">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rPr>
      </w:pPr>
      <w:r>
        <w:rPr>
          <w:rFonts w:hint="default" w:ascii="黑体" w:hAnsi="黑体" w:eastAsia="黑体" w:cs="黑体"/>
          <w:b w:val="0"/>
          <w:bCs w:val="0"/>
          <w:spacing w:val="0"/>
          <w:sz w:val="32"/>
          <w:szCs w:val="32"/>
        </w:rPr>
        <w:t>三、技术依据及参考教材</w:t>
      </w:r>
    </w:p>
    <w:p w14:paraId="09EF2FA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关于民用无人机驾驶航空器系统驾驶员管理有关问题的通知》（民航发</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2014</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27号）</w:t>
      </w:r>
    </w:p>
    <w:p w14:paraId="0D38AFA1">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2.民用无人驾驶航空器系统驾驶员管理暂行规定》（AC-61-FS-2013-20）</w:t>
      </w:r>
    </w:p>
    <w:p w14:paraId="0B30212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3.无人机航摄安全作业基本要求》CH/Z3001-2010；</w:t>
      </w:r>
    </w:p>
    <w:p w14:paraId="6CA67AB7">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4.无人驾驶航空器飞行管理暂行条例（征求意见稿）》；</w:t>
      </w:r>
    </w:p>
    <w:p w14:paraId="3E383B9C">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5.民用无人驾驶航空器系统空中交通管理办法》（MD-TM-2016-004）；</w:t>
      </w:r>
    </w:p>
    <w:p w14:paraId="026A6D72">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6.《低空空域使用管理规定(试行)》；</w:t>
      </w:r>
    </w:p>
    <w:p w14:paraId="43DB76A6">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7.无人机驾驶（初级）（高等教育出版社 ISBN: 978-7-04-054459-6）；</w:t>
      </w:r>
    </w:p>
    <w:p w14:paraId="7656E48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8.无人机理论与飞行培训（多旋翼）（高等教育出版社，ISBN:978-7-04-050237-4）；</w:t>
      </w:r>
    </w:p>
    <w:p w14:paraId="1FDB2171">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9.多旋翼无人机技术基础（清华大学出版社 ISBN:978-7-3024-5652-0）；</w:t>
      </w:r>
    </w:p>
    <w:p w14:paraId="5DB4C891">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10.无人机驾驶员航空知识手册（中国民航出版社 ISBN:978-7-5128-0210-0）；</w:t>
      </w:r>
    </w:p>
    <w:p w14:paraId="1BA69DDE">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11.无人机飞行安全法律法规（西北工业大学出版社，ISBN:978-7-5612-5921-4）；</w:t>
      </w:r>
    </w:p>
    <w:p w14:paraId="1234732A">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12.无人机测绘生产（武汉大学出版社，ISBN:978-7-307-20916-9）；</w:t>
      </w:r>
    </w:p>
    <w:p w14:paraId="3722367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13.无人机航空摄影后期指南（北京科学技术出版社，ISBN:9787530488782）；</w:t>
      </w:r>
    </w:p>
    <w:p w14:paraId="28CCB5F7">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14.无人机植保应用技术（清华大学出版社，ISBN:9787302573685）；</w:t>
      </w:r>
    </w:p>
    <w:p w14:paraId="42D914DE">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15.电力行业无人机巡检标准作业方法（中国水利水电出版社，ISBN:9787517096146）；</w:t>
      </w:r>
    </w:p>
    <w:p w14:paraId="4932C0EE">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16. 本竞赛规程。</w:t>
      </w:r>
    </w:p>
    <w:p w14:paraId="1C20D5BC">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如本竞赛规程与以上标准不符，按本竞赛规程执行。</w:t>
      </w:r>
    </w:p>
    <w:p w14:paraId="730ECE20">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rPr>
      </w:pPr>
      <w:r>
        <w:rPr>
          <w:rFonts w:hint="default" w:ascii="黑体" w:hAnsi="黑体" w:eastAsia="黑体" w:cs="黑体"/>
          <w:b w:val="0"/>
          <w:bCs w:val="0"/>
          <w:spacing w:val="0"/>
          <w:sz w:val="32"/>
          <w:szCs w:val="32"/>
        </w:rPr>
        <w:t>四、仪器设备</w:t>
      </w:r>
    </w:p>
    <w:p w14:paraId="4633EE7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本次宝鸡市青工职业技能大赛无人机驾驶员工种所使用的无人机设备是由参赛选手自带符合比赛要求的大疆系列无人机。</w:t>
      </w:r>
    </w:p>
    <w:p w14:paraId="79C2EE5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rPr>
      </w:pPr>
      <w:r>
        <w:rPr>
          <w:rFonts w:hint="default" w:ascii="黑体" w:hAnsi="黑体" w:eastAsia="黑体" w:cs="黑体"/>
          <w:b w:val="0"/>
          <w:bCs w:val="0"/>
          <w:spacing w:val="0"/>
          <w:sz w:val="32"/>
          <w:szCs w:val="32"/>
        </w:rPr>
        <w:t>五、竞赛流程</w:t>
      </w:r>
    </w:p>
    <w:p w14:paraId="5F399CBA">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rPr>
        <w:t>( 一 ) 竞赛流程</w:t>
      </w:r>
    </w:p>
    <w:p w14:paraId="21BC8396">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FF0000"/>
          <w:spacing w:val="0"/>
          <w:sz w:val="32"/>
          <w:szCs w:val="32"/>
        </w:rPr>
      </w:pPr>
      <w:r>
        <w:rPr>
          <w:rFonts w:hint="default" w:ascii="Times New Roman" w:hAnsi="Times New Roman" w:eastAsia="仿宋_GB2312" w:cs="Times New Roman"/>
          <w:spacing w:val="0"/>
          <w:sz w:val="32"/>
          <w:szCs w:val="32"/>
          <w:lang w:eastAsia="zh-CN"/>
        </w:rPr>
        <w:t>统一组织</w:t>
      </w:r>
      <w:r>
        <w:rPr>
          <w:rFonts w:hint="default" w:ascii="Times New Roman" w:hAnsi="Times New Roman" w:eastAsia="仿宋_GB2312" w:cs="Times New Roman"/>
          <w:spacing w:val="0"/>
          <w:sz w:val="32"/>
          <w:szCs w:val="32"/>
        </w:rPr>
        <w:t>选手熟悉实操赛场环境。选手须按照指定时间到达实操比赛地点，每场比赛前15分钟，选手进场检录。选手听从裁判指挥进行比赛。无人机实操包括作业前准备、异地降落、正射影像拍摄，应急返航，作业后收纳，共5个项目，由裁判进行现场打分。</w:t>
      </w:r>
    </w:p>
    <w:p w14:paraId="1D345E41">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楷体_GB2312" w:hAnsi="楷体_GB2312" w:eastAsia="楷体_GB2312" w:cs="楷体_GB2312"/>
          <w:b/>
          <w:bCs/>
          <w:spacing w:val="0"/>
          <w:sz w:val="32"/>
          <w:szCs w:val="32"/>
        </w:rPr>
      </w:pPr>
      <w:r>
        <w:rPr>
          <w:rFonts w:hint="default" w:ascii="楷体_GB2312" w:hAnsi="楷体_GB2312" w:eastAsia="楷体_GB2312" w:cs="楷体_GB2312"/>
          <w:b/>
          <w:bCs/>
          <w:spacing w:val="0"/>
          <w:sz w:val="32"/>
          <w:szCs w:val="32"/>
        </w:rPr>
        <w:t>( 二 ) 竞赛日程</w:t>
      </w:r>
    </w:p>
    <w:p w14:paraId="3F96785B">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spacing w:val="0"/>
          <w:kern w:val="2"/>
          <w:sz w:val="32"/>
          <w:szCs w:val="32"/>
        </w:rPr>
      </w:pPr>
      <w:r>
        <w:rPr>
          <w:rFonts w:hint="default" w:ascii="Times New Roman" w:hAnsi="Times New Roman" w:eastAsia="仿宋_GB2312" w:cs="Times New Roman"/>
          <w:spacing w:val="0"/>
          <w:sz w:val="32"/>
          <w:szCs w:val="32"/>
        </w:rPr>
        <w:t>实操比赛前熟悉场地—实操比赛--比赛结束。</w:t>
      </w:r>
    </w:p>
    <w:p w14:paraId="30FB378D">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rPr>
      </w:pPr>
      <w:r>
        <w:rPr>
          <w:rFonts w:hint="default" w:ascii="黑体" w:hAnsi="黑体" w:eastAsia="黑体" w:cs="黑体"/>
          <w:b w:val="0"/>
          <w:bCs w:val="0"/>
          <w:spacing w:val="0"/>
          <w:sz w:val="32"/>
          <w:szCs w:val="32"/>
        </w:rPr>
        <w:t>六、竞赛规则</w:t>
      </w:r>
    </w:p>
    <w:p w14:paraId="2857B3C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rPr>
        <w:t>参赛者须在考试开始前30分钟，凭本人参赛证、CAAC无人机执照电子版、有效居民身份证进入考场，按照抽签顺序依次进场进行实操作业。</w:t>
      </w:r>
    </w:p>
    <w:p w14:paraId="0796C622">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2.</w:t>
      </w:r>
      <w:r>
        <w:rPr>
          <w:rFonts w:hint="default" w:ascii="Times New Roman" w:hAnsi="Times New Roman" w:eastAsia="仿宋_GB2312" w:cs="Times New Roman"/>
          <w:spacing w:val="0"/>
          <w:sz w:val="32"/>
          <w:szCs w:val="32"/>
        </w:rPr>
        <w:t>参赛者需具备作业前准备及作业后收纳的基本能力，作业前需对飞行器进行组装操作，将准备好的飞行器对尾放置在起降坪位置，待裁判员确认一切安全后，参赛者方可进行实操项目的比赛；作业后参赛者需按照要求取出存储卡、收纳飞行器，并将收纳箱放回指定位置，同时上交存储有视频和照片的存储卡，供裁判评定。</w:t>
      </w:r>
    </w:p>
    <w:p w14:paraId="2A31FF58">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参赛者每个项目仅能实操一次，不能因中途出现状况而重新开始，光线、风向等客观因素均为正常竞赛环境，参赛者应做好预判。参赛者进入考试区域，准备好后示意裁判员，开始考试计时，每个实操项目的操作要求如下：</w:t>
      </w:r>
    </w:p>
    <w:p w14:paraId="02FE7CBB">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a.作业前准备</w:t>
      </w:r>
    </w:p>
    <w:p w14:paraId="56B353C9">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参赛者领取本人使用的储存卡；</w:t>
      </w:r>
    </w:p>
    <w:p w14:paraId="042BA34A">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使用组委会提供的飞行器，对飞行器进行组装操作，将准备好的飞行器对尾放置在起降坪位置；</w:t>
      </w:r>
    </w:p>
    <w:p w14:paraId="7262A23C">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对无人机进行飞行前检查，并同时汇报每项检查状态，检查完毕后请示裁判员“准备就绪”；</w:t>
      </w:r>
    </w:p>
    <w:p w14:paraId="49CA7309">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裁判员确认一切安全后，批准参赛者可以起飞，并告知参赛者“开始比赛”。</w:t>
      </w:r>
    </w:p>
    <w:p w14:paraId="11A71447">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b.异地降落</w:t>
      </w:r>
    </w:p>
    <w:p w14:paraId="12E3C4B0">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参赛者操控飞行器从起飞点垂直起飞后悬停（不高于2米），悬停后调整方向，然后背对飞行器，并报告裁判员“异地降落准备就绪”；</w:t>
      </w:r>
    </w:p>
    <w:p w14:paraId="77A8AF22">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裁判员示意参赛者“开始”；参赛者操作飞行器爬升到指定高度(20米)并完成异地降落，上升阶段每5米汇报“飞行高度”，完成飞行器降落在指定地点，报告“异地降落完毕”。</w:t>
      </w:r>
    </w:p>
    <w:p w14:paraId="16FDDB58">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c.正射影像拍摄</w:t>
      </w:r>
    </w:p>
    <w:p w14:paraId="6571FD81">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参赛者报告裁判员“正射影像拍摄准备就绪”；</w:t>
      </w:r>
    </w:p>
    <w:p w14:paraId="2B41419C">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裁判员示意参赛者“开始”；参赛者进行飞行参数设置，确保影像清晰无拖影 。完成后进行航线规划与执行：手动或自动规划矩形航线，覆盖指定区域（如100m×100m）并外扩10%范围 。全程保持飞行平稳，禁止急转或骤降 。</w:t>
      </w:r>
    </w:p>
    <w:p w14:paraId="04454EF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最后进行成果提交与评分：提交原始照片及拼接后的正射影像图（可用Photoscan/Pix4D等软件快速处理） 。</w:t>
      </w:r>
    </w:p>
    <w:p w14:paraId="0E3C00E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评分依据：影像分辨率、区域覆盖完整性、拼接误差（≤5%）及操作规范性 ，地面二维码拍摄完整度。</w:t>
      </w:r>
    </w:p>
    <w:p w14:paraId="5573CAC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附加要求：全程遵守安全规范。结束后报告裁判员“正射影像拍摄任务完成”，提交最终成果后截至计时。</w:t>
      </w:r>
    </w:p>
    <w:p w14:paraId="482389F6">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d.应急返航</w:t>
      </w:r>
    </w:p>
    <w:p w14:paraId="7A09F691">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模拟数传信号丢失：由考官将无人机飞至高度50米半径100米范围内任意地点任意航向角，15秒内观察遥控器参数判断飞机姿态，返航时须参照姿态球并遮挡图传与地图画面，使用姿态模式手动返航，航向误差≤±45°，高度偏差±5米 。将飞机飞到起飞点半径15米内 。</w:t>
      </w:r>
    </w:p>
    <w:p w14:paraId="3D207025">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评分标准：返航操作规范性及偏差 。</w:t>
      </w:r>
    </w:p>
    <w:p w14:paraId="7929D2F5">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附加要求：赛前设备检查（电池、螺旋桨、遥控信号），禁用GPS返航 。</w:t>
      </w:r>
    </w:p>
    <w:p w14:paraId="61E9D995">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e.作业后收纳</w:t>
      </w:r>
    </w:p>
    <w:p w14:paraId="030CC7C6">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参赛者按照要求取出存储卡、收纳飞行器，汇报每项检查状态，并将收纳箱放回指定位置，并报告裁判员“实操任务完成”，裁判员停止计时。同时上交存储有视频和照片的存储卡，供裁判评定。</w:t>
      </w:r>
    </w:p>
    <w:p w14:paraId="7DCB073F">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spacing w:val="0"/>
          <w:sz w:val="32"/>
          <w:szCs w:val="32"/>
        </w:rPr>
      </w:pPr>
      <w:r>
        <w:rPr>
          <w:rFonts w:hint="eastAsia" w:ascii="Times New Roman" w:hAnsi="Times New Roman" w:eastAsia="仿宋_GB2312" w:cs="Times New Roman"/>
          <w:b w:val="0"/>
          <w:bCs w:val="0"/>
          <w:spacing w:val="0"/>
          <w:sz w:val="32"/>
          <w:szCs w:val="32"/>
          <w:lang w:val="en-US" w:eastAsia="zh-CN"/>
        </w:rPr>
        <w:t>4.</w:t>
      </w:r>
      <w:r>
        <w:rPr>
          <w:rFonts w:hint="default" w:ascii="Times New Roman" w:hAnsi="Times New Roman" w:eastAsia="仿宋_GB2312" w:cs="Times New Roman"/>
          <w:b w:val="0"/>
          <w:bCs w:val="0"/>
          <w:spacing w:val="0"/>
          <w:sz w:val="32"/>
          <w:szCs w:val="32"/>
        </w:rPr>
        <w:t>评分</w:t>
      </w:r>
    </w:p>
    <w:p w14:paraId="15827FA5">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spacing w:val="0"/>
          <w:sz w:val="32"/>
          <w:szCs w:val="32"/>
        </w:rPr>
      </w:pPr>
      <w:r>
        <w:rPr>
          <w:rFonts w:hint="default" w:ascii="Times New Roman" w:hAnsi="Times New Roman" w:eastAsia="仿宋_GB2312" w:cs="Times New Roman"/>
          <w:b w:val="0"/>
          <w:bCs w:val="0"/>
          <w:spacing w:val="0"/>
          <w:sz w:val="32"/>
          <w:szCs w:val="32"/>
        </w:rPr>
        <w:t>上述操作过程中，裁判员根据参赛者每个竞赛的表现进行评分（详见评分标准），比赛结束后统一交给评委会。</w:t>
      </w:r>
    </w:p>
    <w:p w14:paraId="4BFBC1F8">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spacing w:val="0"/>
          <w:sz w:val="32"/>
          <w:szCs w:val="32"/>
          <w:lang w:eastAsia="zh-CN"/>
        </w:rPr>
      </w:pPr>
      <w:r>
        <w:rPr>
          <w:rFonts w:hint="eastAsia" w:ascii="Times New Roman" w:hAnsi="Times New Roman" w:eastAsia="仿宋_GB2312" w:cs="Times New Roman"/>
          <w:b w:val="0"/>
          <w:bCs w:val="0"/>
          <w:spacing w:val="0"/>
          <w:sz w:val="32"/>
          <w:szCs w:val="32"/>
          <w:lang w:val="en-US" w:eastAsia="zh-CN"/>
        </w:rPr>
        <w:t>5.</w:t>
      </w:r>
      <w:r>
        <w:rPr>
          <w:rFonts w:hint="default" w:ascii="Times New Roman" w:hAnsi="Times New Roman" w:eastAsia="仿宋_GB2312" w:cs="Times New Roman"/>
          <w:b w:val="0"/>
          <w:bCs w:val="0"/>
          <w:spacing w:val="0"/>
          <w:sz w:val="32"/>
          <w:szCs w:val="32"/>
          <w:lang w:eastAsia="zh-CN"/>
        </w:rPr>
        <w:t>名次排序说明</w:t>
      </w:r>
    </w:p>
    <w:p w14:paraId="7BFC6D6B">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rPr>
        <w:t>竞赛总成绩作为参</w:t>
      </w:r>
      <w:r>
        <w:rPr>
          <w:rFonts w:hint="default" w:ascii="Times New Roman" w:hAnsi="Times New Roman" w:eastAsia="仿宋_GB2312" w:cs="Times New Roman"/>
          <w:spacing w:val="0"/>
          <w:sz w:val="32"/>
          <w:szCs w:val="32"/>
        </w:rPr>
        <w:t>赛队和参赛选手名次排序的依据。如果参赛选手总成绩相同，无人机实操竞赛成绩高的选手名次在前，若实际操作竞赛成绩相同则用时较少的名次在前。成绩完全相同并影响竞赛结果的，由评审组加试后决定名次；不影响的，名次并列。</w:t>
      </w:r>
    </w:p>
    <w:p w14:paraId="60F0B467">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rPr>
      </w:pPr>
      <w:r>
        <w:rPr>
          <w:rFonts w:hint="default" w:ascii="黑体" w:hAnsi="黑体" w:eastAsia="黑体" w:cs="黑体"/>
          <w:b w:val="0"/>
          <w:bCs w:val="0"/>
          <w:spacing w:val="0"/>
          <w:sz w:val="32"/>
          <w:szCs w:val="32"/>
        </w:rPr>
        <w:t>七、申诉与仲裁</w:t>
      </w:r>
    </w:p>
    <w:p w14:paraId="177328FE">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eastAsia" w:ascii="Times New Roman" w:hAnsi="Times New Roman" w:eastAsia="仿宋_GB2312" w:cs="Times New Roman"/>
          <w:b/>
          <w:bCs/>
          <w:spacing w:val="0"/>
          <w:sz w:val="32"/>
          <w:szCs w:val="32"/>
          <w:lang w:val="en-US" w:eastAsia="zh-CN"/>
        </w:rPr>
        <w:t>1.</w:t>
      </w:r>
      <w:r>
        <w:rPr>
          <w:rFonts w:hint="default" w:ascii="Times New Roman" w:hAnsi="Times New Roman" w:eastAsia="仿宋_GB2312" w:cs="Times New Roman"/>
          <w:b/>
          <w:bCs/>
          <w:spacing w:val="0"/>
          <w:sz w:val="32"/>
          <w:szCs w:val="32"/>
        </w:rPr>
        <w:t>申诉</w:t>
      </w:r>
    </w:p>
    <w:p w14:paraId="28088422">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（1）各参赛队对不符合赛项规程、竞赛执裁、赛场管理、竞赛成绩，以及工作人员的不规范行为等，可向赛项仲裁组提出申诉，申诉主体为参赛者本人。</w:t>
      </w:r>
    </w:p>
    <w:p w14:paraId="63497722">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申诉应在竞赛结束后2小时内提出，超过时效不予受理。申诉时，由参赛者本人按照规定的程序向赛项仲裁组递交书面申诉报告。报告应对申诉事件的现象、发生的时间、涉及到的人员、申诉依据与理由等进行充分、实事求是的叙述。事实依据不充分、仅凭主观臆断的申诉将不予受理。申诉报告须有申诉的参赛选手签名。</w:t>
      </w:r>
    </w:p>
    <w:p w14:paraId="0FDD0729">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（3）申诉方可随时提出放弃申诉。</w:t>
      </w:r>
    </w:p>
    <w:p w14:paraId="0CB77859">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（4）赛项仲裁工作组收到申诉报告后，应根据申诉事由进行审查，2小时内书面通知申诉方，告知申诉处理结果。</w:t>
      </w:r>
    </w:p>
    <w:p w14:paraId="0E4109B0">
      <w:pPr>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pacing w:val="0"/>
          <w:sz w:val="32"/>
          <w:szCs w:val="32"/>
        </w:rPr>
      </w:pPr>
      <w:r>
        <w:rPr>
          <w:rFonts w:hint="eastAsia" w:ascii="Times New Roman" w:hAnsi="Times New Roman" w:eastAsia="仿宋_GB2312" w:cs="Times New Roman"/>
          <w:b/>
          <w:bCs/>
          <w:spacing w:val="0"/>
          <w:sz w:val="32"/>
          <w:szCs w:val="32"/>
          <w:lang w:val="en-US" w:eastAsia="zh-CN"/>
        </w:rPr>
        <w:t>2.</w:t>
      </w:r>
      <w:r>
        <w:rPr>
          <w:rFonts w:hint="default" w:ascii="Times New Roman" w:hAnsi="Times New Roman" w:eastAsia="仿宋_GB2312" w:cs="Times New Roman"/>
          <w:b/>
          <w:bCs/>
          <w:spacing w:val="0"/>
          <w:sz w:val="32"/>
          <w:szCs w:val="32"/>
        </w:rPr>
        <w:t>仲裁</w:t>
      </w:r>
    </w:p>
    <w:p w14:paraId="74D8BA1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（1）赛项设监督组（仲裁组）接受由参赛选手提出的对裁判结果等方面问题的申诉。赛项监督组（仲裁组）在接到申诉后的2小时内组织复议，并及时反馈复议结果。监督组（仲裁组）的仲裁结果为最终结果。</w:t>
      </w:r>
    </w:p>
    <w:p w14:paraId="04B60C9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（2）申诉方不得以任何理由拒绝接受仲裁结果，不得以任何理由采取过激行为扰乱赛场秩序。仲裁结果由申诉人签收，不能代收，如在约定时间和地点申诉人离开，视为自行放弃申诉。</w:t>
      </w:r>
    </w:p>
    <w:p w14:paraId="4E837384">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spacing w:val="0"/>
          <w:sz w:val="32"/>
          <w:szCs w:val="32"/>
        </w:rPr>
        <w:t>附件：无人机驾驶员实操部分评分标准</w:t>
      </w:r>
    </w:p>
    <w:p w14:paraId="575BFFF9">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0"/>
          <w:sz w:val="32"/>
          <w:szCs w:val="32"/>
        </w:rPr>
        <w:sectPr>
          <w:footerReference r:id="rId3" w:type="default"/>
          <w:pgSz w:w="11906" w:h="16838"/>
          <w:pgMar w:top="2098" w:right="1474" w:bottom="1984" w:left="1587" w:header="851" w:footer="1417" w:gutter="0"/>
          <w:pgNumType w:fmt="decimal"/>
          <w:cols w:space="0" w:num="1"/>
          <w:rtlGutter w:val="0"/>
          <w:docGrid w:type="lines" w:linePitch="312" w:charSpace="0"/>
        </w:sectPr>
      </w:pPr>
    </w:p>
    <w:p w14:paraId="25D24ADA">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无人机驾驶员实操部分评分标准</w:t>
      </w:r>
    </w:p>
    <w:tbl>
      <w:tblPr>
        <w:tblStyle w:val="8"/>
        <w:tblW w:w="14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4470"/>
        <w:gridCol w:w="1102"/>
        <w:gridCol w:w="3559"/>
        <w:gridCol w:w="2045"/>
        <w:gridCol w:w="877"/>
        <w:gridCol w:w="1169"/>
      </w:tblGrid>
      <w:tr w14:paraId="7CF6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32" w:type="dxa"/>
            <w:vAlign w:val="center"/>
          </w:tcPr>
          <w:p w14:paraId="2F33B5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项目</w:t>
            </w:r>
          </w:p>
          <w:p w14:paraId="2CF90F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名称</w:t>
            </w:r>
          </w:p>
        </w:tc>
        <w:tc>
          <w:tcPr>
            <w:tcW w:w="4470" w:type="dxa"/>
            <w:vAlign w:val="center"/>
          </w:tcPr>
          <w:p w14:paraId="1F2773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考点</w:t>
            </w:r>
          </w:p>
        </w:tc>
        <w:tc>
          <w:tcPr>
            <w:tcW w:w="4661" w:type="dxa"/>
            <w:gridSpan w:val="2"/>
            <w:vAlign w:val="center"/>
          </w:tcPr>
          <w:p w14:paraId="08537A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扣分细则</w:t>
            </w:r>
          </w:p>
        </w:tc>
        <w:tc>
          <w:tcPr>
            <w:tcW w:w="2045" w:type="dxa"/>
            <w:vAlign w:val="center"/>
          </w:tcPr>
          <w:p w14:paraId="2A3790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扣分值</w:t>
            </w:r>
          </w:p>
        </w:tc>
        <w:tc>
          <w:tcPr>
            <w:tcW w:w="877" w:type="dxa"/>
          </w:tcPr>
          <w:p w14:paraId="27F810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评分（分）</w:t>
            </w:r>
          </w:p>
        </w:tc>
        <w:tc>
          <w:tcPr>
            <w:tcW w:w="1169" w:type="dxa"/>
            <w:vAlign w:val="center"/>
          </w:tcPr>
          <w:p w14:paraId="6837B3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rPr>
            </w:pPr>
            <w:r>
              <w:rPr>
                <w:rFonts w:hint="eastAsia" w:ascii="Times New Roman" w:hAnsi="Times New Roman"/>
                <w:b/>
              </w:rPr>
              <w:t>分值</w:t>
            </w:r>
          </w:p>
          <w:p w14:paraId="7F9C26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b/>
              </w:rPr>
            </w:pPr>
            <w:r>
              <w:rPr>
                <w:rFonts w:hint="eastAsia" w:ascii="Times New Roman" w:hAnsi="Times New Roman"/>
                <w:b/>
              </w:rPr>
              <w:t>（分）</w:t>
            </w:r>
          </w:p>
        </w:tc>
      </w:tr>
      <w:tr w14:paraId="37A8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32" w:type="dxa"/>
            <w:vMerge w:val="restart"/>
            <w:vAlign w:val="center"/>
          </w:tcPr>
          <w:p w14:paraId="2C88DB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正射</w:t>
            </w:r>
          </w:p>
          <w:p w14:paraId="4D9243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影像</w:t>
            </w:r>
          </w:p>
          <w:p w14:paraId="44EC0A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拍摄</w:t>
            </w:r>
          </w:p>
        </w:tc>
        <w:tc>
          <w:tcPr>
            <w:tcW w:w="4470" w:type="dxa"/>
            <w:vMerge w:val="restart"/>
            <w:vAlign w:val="center"/>
          </w:tcPr>
          <w:p w14:paraId="59076CFB">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b/>
                <w:bCs/>
              </w:rPr>
            </w:pPr>
            <w:r>
              <w:rPr>
                <w:rFonts w:hint="eastAsia" w:ascii="Times New Roman" w:hAnsi="Times New Roman"/>
                <w:b/>
                <w:bCs/>
              </w:rPr>
              <w:t>精准飞行控制、影像数据采集规范、像控点处理与遮蔽纠正、正射影像图制作流程（含数据预处理、模型校正、正射镶嵌等）、成果质量验证（如几何精度、色彩一致性、完整性）及安全操作规范 。</w:t>
            </w:r>
          </w:p>
        </w:tc>
        <w:tc>
          <w:tcPr>
            <w:tcW w:w="1102" w:type="dxa"/>
            <w:vMerge w:val="restart"/>
            <w:vAlign w:val="center"/>
          </w:tcPr>
          <w:p w14:paraId="3341CC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影像拍摄规范</w:t>
            </w:r>
          </w:p>
        </w:tc>
        <w:tc>
          <w:tcPr>
            <w:tcW w:w="3559" w:type="dxa"/>
            <w:vAlign w:val="center"/>
          </w:tcPr>
          <w:p w14:paraId="2344DD7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拍摄图像模糊、对焦错误或曝光异常导致无法识别数字/字母 </w:t>
            </w:r>
          </w:p>
        </w:tc>
        <w:tc>
          <w:tcPr>
            <w:tcW w:w="2045" w:type="dxa"/>
            <w:vAlign w:val="center"/>
          </w:tcPr>
          <w:p w14:paraId="04E619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扣2分</w:t>
            </w:r>
          </w:p>
        </w:tc>
        <w:tc>
          <w:tcPr>
            <w:tcW w:w="877" w:type="dxa"/>
          </w:tcPr>
          <w:p w14:paraId="0D858F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1169" w:type="dxa"/>
            <w:vAlign w:val="center"/>
          </w:tcPr>
          <w:p w14:paraId="3AEB16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r>
      <w:tr w14:paraId="499E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759038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4470" w:type="dxa"/>
            <w:vMerge w:val="continue"/>
            <w:vAlign w:val="center"/>
          </w:tcPr>
          <w:p w14:paraId="57EEF751">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p>
        </w:tc>
        <w:tc>
          <w:tcPr>
            <w:tcW w:w="1102" w:type="dxa"/>
            <w:vMerge w:val="continue"/>
            <w:vAlign w:val="center"/>
          </w:tcPr>
          <w:p w14:paraId="20F89B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3559" w:type="dxa"/>
            <w:vAlign w:val="center"/>
          </w:tcPr>
          <w:p w14:paraId="034FB0C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未采集到二维码</w:t>
            </w:r>
          </w:p>
        </w:tc>
        <w:tc>
          <w:tcPr>
            <w:tcW w:w="2045" w:type="dxa"/>
            <w:vAlign w:val="center"/>
          </w:tcPr>
          <w:p w14:paraId="4CFB49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扣5分</w:t>
            </w:r>
          </w:p>
        </w:tc>
        <w:tc>
          <w:tcPr>
            <w:tcW w:w="877" w:type="dxa"/>
          </w:tcPr>
          <w:p w14:paraId="4993C7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1169" w:type="dxa"/>
            <w:vMerge w:val="restart"/>
            <w:vAlign w:val="center"/>
          </w:tcPr>
          <w:p w14:paraId="5C6EFB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r>
      <w:tr w14:paraId="0F0E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26D1F7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3B6354B0">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2D7960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飞行操作规范</w:t>
            </w:r>
          </w:p>
        </w:tc>
        <w:tc>
          <w:tcPr>
            <w:tcW w:w="3559" w:type="dxa"/>
            <w:vAlign w:val="center"/>
          </w:tcPr>
          <w:p w14:paraId="32AC1371">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飞行时选手目视飞行器</w:t>
            </w:r>
          </w:p>
        </w:tc>
        <w:tc>
          <w:tcPr>
            <w:tcW w:w="2045" w:type="dxa"/>
            <w:vAlign w:val="center"/>
          </w:tcPr>
          <w:p w14:paraId="30A6C0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扣2分</w:t>
            </w:r>
          </w:p>
        </w:tc>
        <w:tc>
          <w:tcPr>
            <w:tcW w:w="877" w:type="dxa"/>
          </w:tcPr>
          <w:p w14:paraId="7D880F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2569A1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3039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2F042A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08FE248B">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1112F0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3559" w:type="dxa"/>
            <w:vAlign w:val="center"/>
          </w:tcPr>
          <w:p w14:paraId="2D0FF7B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飞行器出现危险状况</w:t>
            </w:r>
          </w:p>
        </w:tc>
        <w:tc>
          <w:tcPr>
            <w:tcW w:w="2045" w:type="dxa"/>
            <w:vAlign w:val="center"/>
          </w:tcPr>
          <w:p w14:paraId="4B1EBB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w:t>
            </w:r>
            <w:r>
              <w:rPr>
                <w:rFonts w:ascii="Times New Roman" w:hAnsi="Times New Roman"/>
              </w:rPr>
              <w:t>5</w:t>
            </w:r>
            <w:r>
              <w:rPr>
                <w:rFonts w:hint="eastAsia" w:ascii="Times New Roman" w:hAnsi="Times New Roman"/>
              </w:rPr>
              <w:t>分</w:t>
            </w:r>
          </w:p>
        </w:tc>
        <w:tc>
          <w:tcPr>
            <w:tcW w:w="877" w:type="dxa"/>
          </w:tcPr>
          <w:p w14:paraId="45E93E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0F31A3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3249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730E7A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75306226">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331B44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3559" w:type="dxa"/>
            <w:vAlign w:val="center"/>
          </w:tcPr>
          <w:p w14:paraId="33406C3E">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飞行高度超出安全范围</w:t>
            </w:r>
          </w:p>
        </w:tc>
        <w:tc>
          <w:tcPr>
            <w:tcW w:w="2045" w:type="dxa"/>
            <w:vAlign w:val="center"/>
          </w:tcPr>
          <w:p w14:paraId="27D813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w:t>
            </w:r>
            <w:r>
              <w:rPr>
                <w:rFonts w:ascii="Times New Roman" w:hAnsi="Times New Roman"/>
              </w:rPr>
              <w:t>5</w:t>
            </w:r>
            <w:r>
              <w:rPr>
                <w:rFonts w:hint="eastAsia" w:ascii="Times New Roman" w:hAnsi="Times New Roman"/>
              </w:rPr>
              <w:t>分</w:t>
            </w:r>
          </w:p>
        </w:tc>
        <w:tc>
          <w:tcPr>
            <w:tcW w:w="877" w:type="dxa"/>
          </w:tcPr>
          <w:p w14:paraId="2FD7E9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4CD534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3895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7A5193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2160F4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04C249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3559" w:type="dxa"/>
          </w:tcPr>
          <w:p w14:paraId="373B4E4A">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无人机未处于定位模式</w:t>
            </w:r>
          </w:p>
        </w:tc>
        <w:tc>
          <w:tcPr>
            <w:tcW w:w="2045" w:type="dxa"/>
            <w:vAlign w:val="center"/>
          </w:tcPr>
          <w:p w14:paraId="213FCD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w:t>
            </w:r>
            <w:r>
              <w:rPr>
                <w:rFonts w:ascii="Times New Roman" w:hAnsi="Times New Roman"/>
              </w:rPr>
              <w:t>10</w:t>
            </w:r>
            <w:r>
              <w:rPr>
                <w:rFonts w:hint="eastAsia" w:ascii="Times New Roman" w:hAnsi="Times New Roman"/>
              </w:rPr>
              <w:t>分</w:t>
            </w:r>
          </w:p>
        </w:tc>
        <w:tc>
          <w:tcPr>
            <w:tcW w:w="877" w:type="dxa"/>
          </w:tcPr>
          <w:p w14:paraId="64160D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2938A8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4CE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0F4E84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6DD974FE">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03C53E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数据导出与存储</w:t>
            </w:r>
          </w:p>
        </w:tc>
        <w:tc>
          <w:tcPr>
            <w:tcW w:w="3559" w:type="dxa"/>
          </w:tcPr>
          <w:p w14:paraId="2176926A">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未按要求导出影像至指定存储卡</w:t>
            </w:r>
          </w:p>
        </w:tc>
        <w:tc>
          <w:tcPr>
            <w:tcW w:w="2045" w:type="dxa"/>
            <w:vAlign w:val="center"/>
          </w:tcPr>
          <w:p w14:paraId="1589CB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扣2分</w:t>
            </w:r>
          </w:p>
        </w:tc>
        <w:tc>
          <w:tcPr>
            <w:tcW w:w="877" w:type="dxa"/>
          </w:tcPr>
          <w:p w14:paraId="6E5858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restart"/>
            <w:vAlign w:val="center"/>
          </w:tcPr>
          <w:p w14:paraId="0A71BD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2B54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0A39FC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2A02B081">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29B94033">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p>
        </w:tc>
        <w:tc>
          <w:tcPr>
            <w:tcW w:w="3559" w:type="dxa"/>
          </w:tcPr>
          <w:p w14:paraId="654DD263">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数据存储卡未提交</w:t>
            </w:r>
          </w:p>
        </w:tc>
        <w:tc>
          <w:tcPr>
            <w:tcW w:w="2045" w:type="dxa"/>
            <w:vAlign w:val="center"/>
          </w:tcPr>
          <w:p w14:paraId="658E89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扣5分</w:t>
            </w:r>
          </w:p>
        </w:tc>
        <w:tc>
          <w:tcPr>
            <w:tcW w:w="877" w:type="dxa"/>
          </w:tcPr>
          <w:p w14:paraId="08C41E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716727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1902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3A5BF2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74C694B2">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1B2F6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正射影像质量</w:t>
            </w:r>
          </w:p>
        </w:tc>
        <w:tc>
          <w:tcPr>
            <w:tcW w:w="3559" w:type="dxa"/>
          </w:tcPr>
          <w:p w14:paraId="1BAFF17F">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影像模糊、错位或色调不均匀</w:t>
            </w:r>
          </w:p>
        </w:tc>
        <w:tc>
          <w:tcPr>
            <w:tcW w:w="2045" w:type="dxa"/>
            <w:vAlign w:val="center"/>
          </w:tcPr>
          <w:p w14:paraId="28FD31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扣5分</w:t>
            </w:r>
          </w:p>
        </w:tc>
        <w:tc>
          <w:tcPr>
            <w:tcW w:w="877" w:type="dxa"/>
          </w:tcPr>
          <w:p w14:paraId="64776B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0A7E24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ED9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0F96E5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1A861C5A">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0DB3BE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3559" w:type="dxa"/>
          </w:tcPr>
          <w:p w14:paraId="2662A2CB">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镶嵌痕迹明显或色彩失真</w:t>
            </w:r>
          </w:p>
        </w:tc>
        <w:tc>
          <w:tcPr>
            <w:tcW w:w="2045" w:type="dxa"/>
            <w:vAlign w:val="center"/>
          </w:tcPr>
          <w:p w14:paraId="14590D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扣5分</w:t>
            </w:r>
          </w:p>
        </w:tc>
        <w:tc>
          <w:tcPr>
            <w:tcW w:w="877" w:type="dxa"/>
          </w:tcPr>
          <w:p w14:paraId="2CBB4A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1C661B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5A99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7793B7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550E6B0B">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172804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p>
        </w:tc>
        <w:tc>
          <w:tcPr>
            <w:tcW w:w="3559" w:type="dxa"/>
          </w:tcPr>
          <w:p w14:paraId="53ABE31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未覆盖完整测绘区域</w:t>
            </w:r>
          </w:p>
        </w:tc>
        <w:tc>
          <w:tcPr>
            <w:tcW w:w="2045" w:type="dxa"/>
            <w:vAlign w:val="center"/>
          </w:tcPr>
          <w:p w14:paraId="2BE958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扣5分</w:t>
            </w:r>
          </w:p>
        </w:tc>
        <w:tc>
          <w:tcPr>
            <w:tcW w:w="877" w:type="dxa"/>
          </w:tcPr>
          <w:p w14:paraId="59DC5C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6AC1BA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0BC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932" w:type="dxa"/>
            <w:vMerge w:val="continue"/>
            <w:vAlign w:val="center"/>
          </w:tcPr>
          <w:p w14:paraId="019FF3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4589D4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42285E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成果完整性</w:t>
            </w:r>
          </w:p>
        </w:tc>
        <w:tc>
          <w:tcPr>
            <w:tcW w:w="3559" w:type="dxa"/>
          </w:tcPr>
          <w:p w14:paraId="2173E49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r>
              <w:rPr>
                <w:rFonts w:hint="eastAsia" w:ascii="Times New Roman" w:hAnsi="Times New Roman"/>
              </w:rPr>
              <w:t>文档资料缺失（如元数据、图历簿）</w:t>
            </w:r>
          </w:p>
        </w:tc>
        <w:tc>
          <w:tcPr>
            <w:tcW w:w="2045" w:type="dxa"/>
            <w:vAlign w:val="center"/>
          </w:tcPr>
          <w:p w14:paraId="67D6B1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扣2</w:t>
            </w:r>
            <w:r>
              <w:rPr>
                <w:rFonts w:ascii="Times New Roman" w:hAnsi="Times New Roman"/>
              </w:rPr>
              <w:t>0</w:t>
            </w:r>
            <w:r>
              <w:rPr>
                <w:rFonts w:hint="eastAsia" w:ascii="Times New Roman" w:hAnsi="Times New Roman"/>
              </w:rPr>
              <w:t>分</w:t>
            </w:r>
          </w:p>
        </w:tc>
        <w:tc>
          <w:tcPr>
            <w:tcW w:w="877" w:type="dxa"/>
          </w:tcPr>
          <w:p w14:paraId="108ADA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04F007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626D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07066F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498D3D3E">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177CF3B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rPr>
            </w:pPr>
          </w:p>
        </w:tc>
        <w:tc>
          <w:tcPr>
            <w:tcW w:w="3559" w:type="dxa"/>
          </w:tcPr>
          <w:p w14:paraId="2E07E178">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rPr>
            </w:pPr>
            <w:r>
              <w:rPr>
                <w:rFonts w:hint="eastAsia" w:ascii="Times New Roman" w:hAnsi="Times New Roman"/>
              </w:rPr>
              <w:t>未生成标准格式成果（如未生成DEM/DLG）</w:t>
            </w:r>
          </w:p>
        </w:tc>
        <w:tc>
          <w:tcPr>
            <w:tcW w:w="2045" w:type="dxa"/>
            <w:vAlign w:val="center"/>
          </w:tcPr>
          <w:p w14:paraId="77DDD6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rPr>
            </w:pPr>
            <w:r>
              <w:rPr>
                <w:rFonts w:hint="eastAsia" w:ascii="Times New Roman" w:hAnsi="Times New Roman"/>
              </w:rPr>
              <w:t>扣</w:t>
            </w:r>
            <w:r>
              <w:rPr>
                <w:rFonts w:ascii="Times New Roman" w:hAnsi="Times New Roman"/>
              </w:rPr>
              <w:t>10</w:t>
            </w:r>
            <w:r>
              <w:rPr>
                <w:rFonts w:hint="eastAsia" w:ascii="Times New Roman" w:hAnsi="Times New Roman"/>
              </w:rPr>
              <w:t>分</w:t>
            </w:r>
          </w:p>
        </w:tc>
        <w:tc>
          <w:tcPr>
            <w:tcW w:w="877" w:type="dxa"/>
          </w:tcPr>
          <w:p w14:paraId="7CD4FB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Merge w:val="continue"/>
            <w:vAlign w:val="center"/>
          </w:tcPr>
          <w:p w14:paraId="7FEEEE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5451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2" w:type="dxa"/>
            <w:vMerge w:val="continue"/>
            <w:vAlign w:val="center"/>
          </w:tcPr>
          <w:p w14:paraId="7ED199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33DDADC1">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2BE6A4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流程规</w:t>
            </w:r>
          </w:p>
          <w:p w14:paraId="011B0A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范性</w:t>
            </w:r>
          </w:p>
        </w:tc>
        <w:tc>
          <w:tcPr>
            <w:tcW w:w="3559" w:type="dxa"/>
            <w:vAlign w:val="top"/>
          </w:tcPr>
          <w:p w14:paraId="3373812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rPr>
            </w:pPr>
            <w:r>
              <w:rPr>
                <w:rFonts w:hint="eastAsia" w:ascii="Times New Roman" w:hAnsi="Times New Roman" w:eastAsiaTheme="minorEastAsia"/>
                <w:spacing w:val="-11"/>
                <w:sz w:val="21"/>
              </w:rPr>
              <w:t>起飞前未检查设备（如GPS信号不足）</w:t>
            </w:r>
          </w:p>
        </w:tc>
        <w:tc>
          <w:tcPr>
            <w:tcW w:w="2045" w:type="dxa"/>
            <w:vAlign w:val="center"/>
          </w:tcPr>
          <w:p w14:paraId="713A11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扣5分</w:t>
            </w:r>
          </w:p>
        </w:tc>
        <w:tc>
          <w:tcPr>
            <w:tcW w:w="877" w:type="dxa"/>
          </w:tcPr>
          <w:p w14:paraId="2CF43D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1C4030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0830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2" w:type="dxa"/>
            <w:vMerge w:val="continue"/>
            <w:vAlign w:val="center"/>
          </w:tcPr>
          <w:p w14:paraId="60363B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0E35B2CD">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7CF470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p>
        </w:tc>
        <w:tc>
          <w:tcPr>
            <w:tcW w:w="3559" w:type="dxa"/>
            <w:vAlign w:val="top"/>
          </w:tcPr>
          <w:p w14:paraId="26A6A98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rPr>
            </w:pPr>
            <w:r>
              <w:rPr>
                <w:rFonts w:hint="eastAsia" w:ascii="Times New Roman" w:hAnsi="Times New Roman"/>
              </w:rPr>
              <w:t>未按裁判指令操作</w:t>
            </w:r>
          </w:p>
        </w:tc>
        <w:tc>
          <w:tcPr>
            <w:tcW w:w="2045" w:type="dxa"/>
            <w:vAlign w:val="center"/>
          </w:tcPr>
          <w:p w14:paraId="5A8A53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扣5分</w:t>
            </w:r>
          </w:p>
        </w:tc>
        <w:tc>
          <w:tcPr>
            <w:tcW w:w="877" w:type="dxa"/>
          </w:tcPr>
          <w:p w14:paraId="5212C3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43D81F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39A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2" w:type="dxa"/>
            <w:vMerge w:val="continue"/>
            <w:vAlign w:val="center"/>
          </w:tcPr>
          <w:p w14:paraId="2AD225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56E958E4">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78BB0C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安全违规</w:t>
            </w:r>
          </w:p>
        </w:tc>
        <w:tc>
          <w:tcPr>
            <w:tcW w:w="3559" w:type="dxa"/>
            <w:vAlign w:val="top"/>
          </w:tcPr>
          <w:p w14:paraId="17D8A2F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飞行时进入禁区或干扰他人</w:t>
            </w:r>
          </w:p>
        </w:tc>
        <w:tc>
          <w:tcPr>
            <w:tcW w:w="2045" w:type="dxa"/>
            <w:vAlign w:val="center"/>
          </w:tcPr>
          <w:p w14:paraId="5646F0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扣2</w:t>
            </w:r>
            <w:r>
              <w:rPr>
                <w:rFonts w:ascii="Times New Roman" w:hAnsi="Times New Roman"/>
              </w:rPr>
              <w:t>0</w:t>
            </w:r>
            <w:r>
              <w:rPr>
                <w:rFonts w:hint="eastAsia" w:ascii="Times New Roman" w:hAnsi="Times New Roman"/>
              </w:rPr>
              <w:t>分</w:t>
            </w:r>
          </w:p>
        </w:tc>
        <w:tc>
          <w:tcPr>
            <w:tcW w:w="877" w:type="dxa"/>
          </w:tcPr>
          <w:p w14:paraId="02D69A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7D28CA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3ED0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2" w:type="dxa"/>
            <w:vMerge w:val="continue"/>
            <w:vAlign w:val="center"/>
          </w:tcPr>
          <w:p w14:paraId="2FCAC7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754B58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2AEBD14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p>
        </w:tc>
        <w:tc>
          <w:tcPr>
            <w:tcW w:w="3559" w:type="dxa"/>
            <w:vAlign w:val="top"/>
          </w:tcPr>
          <w:p w14:paraId="391552E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设备存在安全隐患</w:t>
            </w:r>
          </w:p>
        </w:tc>
        <w:tc>
          <w:tcPr>
            <w:tcW w:w="2045" w:type="dxa"/>
            <w:vAlign w:val="center"/>
          </w:tcPr>
          <w:p w14:paraId="69AAB5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扣1</w:t>
            </w:r>
            <w:r>
              <w:rPr>
                <w:rFonts w:ascii="Times New Roman" w:hAnsi="Times New Roman"/>
              </w:rPr>
              <w:t>0</w:t>
            </w:r>
            <w:r>
              <w:rPr>
                <w:rFonts w:hint="eastAsia" w:ascii="Times New Roman" w:hAnsi="Times New Roman"/>
              </w:rPr>
              <w:t>分</w:t>
            </w:r>
          </w:p>
        </w:tc>
        <w:tc>
          <w:tcPr>
            <w:tcW w:w="877" w:type="dxa"/>
          </w:tcPr>
          <w:p w14:paraId="312A75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571DA7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2A9B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restart"/>
            <w:vAlign w:val="center"/>
          </w:tcPr>
          <w:p w14:paraId="64C820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cs="Times New Roman"/>
                <w:sz w:val="24"/>
              </w:rPr>
            </w:pPr>
            <w:r>
              <w:rPr>
                <w:rFonts w:hint="eastAsia" w:ascii="Times New Roman" w:hAnsi="Times New Roman" w:cs="Times New Roman"/>
                <w:sz w:val="24"/>
              </w:rPr>
              <w:t>应急返航</w:t>
            </w:r>
          </w:p>
        </w:tc>
        <w:tc>
          <w:tcPr>
            <w:tcW w:w="4470" w:type="dxa"/>
            <w:vMerge w:val="restart"/>
            <w:vAlign w:val="center"/>
          </w:tcPr>
          <w:p w14:paraId="50B48D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r>
              <w:rPr>
                <w:rFonts w:hint="eastAsia" w:ascii="Times New Roman" w:hAnsi="Times New Roman" w:cs="Times New Roman"/>
                <w:b/>
                <w:bCs/>
                <w:sz w:val="24"/>
              </w:rPr>
              <w:t>返航路径规划精准度、紧急指令响应速度、着陆区域精度与稳定性、突发故障应急处理（如信号丢失/低电量返航）、设备维护及安全操作规范（含护具佩戴、禁区规避），核心考核选手在紧急情况下的快速决策、精准操控和安全意识 。</w:t>
            </w:r>
          </w:p>
        </w:tc>
        <w:tc>
          <w:tcPr>
            <w:tcW w:w="1102" w:type="dxa"/>
            <w:vMerge w:val="restart"/>
            <w:vAlign w:val="center"/>
          </w:tcPr>
          <w:p w14:paraId="38996F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返航路径规划</w:t>
            </w:r>
          </w:p>
        </w:tc>
        <w:tc>
          <w:tcPr>
            <w:tcW w:w="3559" w:type="dxa"/>
          </w:tcPr>
          <w:p w14:paraId="5C6788C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未按指定路线返航（偏离航迹超过误差范围）</w:t>
            </w:r>
          </w:p>
        </w:tc>
        <w:tc>
          <w:tcPr>
            <w:tcW w:w="2045" w:type="dxa"/>
            <w:vAlign w:val="center"/>
          </w:tcPr>
          <w:p w14:paraId="13734A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扣1</w:t>
            </w:r>
            <w:r>
              <w:rPr>
                <w:rFonts w:ascii="Times New Roman" w:hAnsi="Times New Roman"/>
              </w:rPr>
              <w:t>0</w:t>
            </w:r>
            <w:r>
              <w:rPr>
                <w:rFonts w:hint="eastAsia" w:ascii="Times New Roman" w:hAnsi="Times New Roman"/>
              </w:rPr>
              <w:t>分</w:t>
            </w:r>
          </w:p>
        </w:tc>
        <w:tc>
          <w:tcPr>
            <w:tcW w:w="877" w:type="dxa"/>
          </w:tcPr>
          <w:p w14:paraId="41B1A6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255DF4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2D9C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19CEA2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7838ED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40677B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p>
        </w:tc>
        <w:tc>
          <w:tcPr>
            <w:tcW w:w="3559" w:type="dxa"/>
          </w:tcPr>
          <w:p w14:paraId="5C7276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未调整至安全高度（飞行高度偏差超出1</w:t>
            </w:r>
            <w:r>
              <w:rPr>
                <w:rFonts w:ascii="Times New Roman" w:hAnsi="Times New Roman"/>
              </w:rPr>
              <w:t>.5</w:t>
            </w:r>
            <w:r>
              <w:rPr>
                <w:rFonts w:hint="eastAsia" w:ascii="Times New Roman" w:hAnsi="Times New Roman"/>
              </w:rPr>
              <w:t>米）</w:t>
            </w:r>
          </w:p>
        </w:tc>
        <w:tc>
          <w:tcPr>
            <w:tcW w:w="2045" w:type="dxa"/>
            <w:vAlign w:val="center"/>
          </w:tcPr>
          <w:p w14:paraId="4AC55D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扣5分</w:t>
            </w:r>
          </w:p>
        </w:tc>
        <w:tc>
          <w:tcPr>
            <w:tcW w:w="877" w:type="dxa"/>
          </w:tcPr>
          <w:p w14:paraId="42F36E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5707FC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5D03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1837FD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4F186239">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0848B4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返航指令响应</w:t>
            </w:r>
          </w:p>
        </w:tc>
        <w:tc>
          <w:tcPr>
            <w:tcW w:w="3559" w:type="dxa"/>
          </w:tcPr>
          <w:p w14:paraId="150F3A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未在裁判发出指令后1分钟内返航</w:t>
            </w:r>
          </w:p>
        </w:tc>
        <w:tc>
          <w:tcPr>
            <w:tcW w:w="2045" w:type="dxa"/>
            <w:vAlign w:val="center"/>
          </w:tcPr>
          <w:p w14:paraId="06243B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扣1</w:t>
            </w:r>
            <w:r>
              <w:rPr>
                <w:rFonts w:ascii="Times New Roman" w:hAnsi="Times New Roman"/>
              </w:rPr>
              <w:t>0</w:t>
            </w:r>
            <w:r>
              <w:rPr>
                <w:rFonts w:hint="eastAsia" w:ascii="Times New Roman" w:hAnsi="Times New Roman"/>
              </w:rPr>
              <w:t>分</w:t>
            </w:r>
          </w:p>
        </w:tc>
        <w:tc>
          <w:tcPr>
            <w:tcW w:w="877" w:type="dxa"/>
          </w:tcPr>
          <w:p w14:paraId="29BBA0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5F839E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07B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6BE06F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751550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1EFCB0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p>
        </w:tc>
        <w:tc>
          <w:tcPr>
            <w:tcW w:w="3559" w:type="dxa"/>
          </w:tcPr>
          <w:p w14:paraId="666AF0F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返航过程中未保持稳定飞行（如频繁窜高、失控）</w:t>
            </w:r>
          </w:p>
        </w:tc>
        <w:tc>
          <w:tcPr>
            <w:tcW w:w="2045" w:type="dxa"/>
            <w:vAlign w:val="center"/>
          </w:tcPr>
          <w:p w14:paraId="14A341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扣1</w:t>
            </w:r>
            <w:r>
              <w:rPr>
                <w:rFonts w:ascii="Times New Roman" w:hAnsi="Times New Roman"/>
              </w:rPr>
              <w:t>0</w:t>
            </w:r>
            <w:r>
              <w:rPr>
                <w:rFonts w:hint="eastAsia" w:ascii="Times New Roman" w:hAnsi="Times New Roman"/>
              </w:rPr>
              <w:t>分</w:t>
            </w:r>
          </w:p>
        </w:tc>
        <w:tc>
          <w:tcPr>
            <w:tcW w:w="877" w:type="dxa"/>
          </w:tcPr>
          <w:p w14:paraId="04B65E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5E6454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59B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1A2B9F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6023A4FB">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13F67C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突发情况应对</w:t>
            </w:r>
          </w:p>
        </w:tc>
        <w:tc>
          <w:tcPr>
            <w:tcW w:w="3559" w:type="dxa"/>
          </w:tcPr>
          <w:p w14:paraId="4DA30E1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偏离航线后未及时修正</w:t>
            </w:r>
          </w:p>
        </w:tc>
        <w:tc>
          <w:tcPr>
            <w:tcW w:w="2045" w:type="dxa"/>
            <w:vAlign w:val="center"/>
          </w:tcPr>
          <w:p w14:paraId="07BD5D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扣1</w:t>
            </w:r>
            <w:r>
              <w:rPr>
                <w:rFonts w:ascii="Times New Roman" w:hAnsi="Times New Roman"/>
              </w:rPr>
              <w:t>0</w:t>
            </w:r>
            <w:r>
              <w:rPr>
                <w:rFonts w:hint="eastAsia" w:ascii="Times New Roman" w:hAnsi="Times New Roman"/>
              </w:rPr>
              <w:t>分</w:t>
            </w:r>
          </w:p>
        </w:tc>
        <w:tc>
          <w:tcPr>
            <w:tcW w:w="877" w:type="dxa"/>
          </w:tcPr>
          <w:p w14:paraId="78064C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770CC9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EAB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76CFDE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0E4BBD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56D91F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p>
        </w:tc>
        <w:tc>
          <w:tcPr>
            <w:tcW w:w="3559" w:type="dxa"/>
          </w:tcPr>
          <w:p w14:paraId="3D9356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设备故障未按规范重启或报告裁判</w:t>
            </w:r>
          </w:p>
        </w:tc>
        <w:tc>
          <w:tcPr>
            <w:tcW w:w="2045" w:type="dxa"/>
            <w:vAlign w:val="center"/>
          </w:tcPr>
          <w:p w14:paraId="34A194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扣5分</w:t>
            </w:r>
          </w:p>
        </w:tc>
        <w:tc>
          <w:tcPr>
            <w:tcW w:w="877" w:type="dxa"/>
          </w:tcPr>
          <w:p w14:paraId="5BE4AB4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61216B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3222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0DAB2E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237A9793">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restart"/>
            <w:vAlign w:val="center"/>
          </w:tcPr>
          <w:p w14:paraId="4315A5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违规行为</w:t>
            </w:r>
          </w:p>
        </w:tc>
        <w:tc>
          <w:tcPr>
            <w:tcW w:w="3559" w:type="dxa"/>
          </w:tcPr>
          <w:p w14:paraId="7B8244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选手离开操作区或干扰他人</w:t>
            </w:r>
          </w:p>
        </w:tc>
        <w:tc>
          <w:tcPr>
            <w:tcW w:w="2045" w:type="dxa"/>
            <w:vAlign w:val="center"/>
          </w:tcPr>
          <w:p w14:paraId="5F2437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扣2</w:t>
            </w:r>
            <w:r>
              <w:rPr>
                <w:rFonts w:ascii="Times New Roman" w:hAnsi="Times New Roman"/>
              </w:rPr>
              <w:t>0</w:t>
            </w:r>
            <w:r>
              <w:rPr>
                <w:rFonts w:hint="eastAsia" w:ascii="Times New Roman" w:hAnsi="Times New Roman"/>
              </w:rPr>
              <w:t>分</w:t>
            </w:r>
          </w:p>
        </w:tc>
        <w:tc>
          <w:tcPr>
            <w:tcW w:w="877" w:type="dxa"/>
          </w:tcPr>
          <w:p w14:paraId="178D74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3DCCE7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42FF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02B383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vMerge w:val="continue"/>
            <w:vAlign w:val="center"/>
          </w:tcPr>
          <w:p w14:paraId="043EE2CA">
            <w:pPr>
              <w:keepNext w:val="0"/>
              <w:keepLines w:val="0"/>
              <w:pageBreakBefore w:val="0"/>
              <w:widowControl w:val="0"/>
              <w:kinsoku/>
              <w:wordWrap/>
              <w:overflowPunct/>
              <w:topLinePunct w:val="0"/>
              <w:autoSpaceDE/>
              <w:autoSpaceDN/>
              <w:bidi w:val="0"/>
              <w:adjustRightInd/>
              <w:snapToGrid/>
              <w:spacing w:line="320" w:lineRule="exact"/>
              <w:textAlignment w:val="auto"/>
              <w:rPr>
                <w:rFonts w:ascii="Times New Roman" w:hAnsi="Times New Roman" w:cs="Times New Roman"/>
                <w:b/>
                <w:bCs/>
                <w:sz w:val="24"/>
              </w:rPr>
            </w:pPr>
          </w:p>
        </w:tc>
        <w:tc>
          <w:tcPr>
            <w:tcW w:w="1102" w:type="dxa"/>
            <w:vMerge w:val="continue"/>
            <w:vAlign w:val="center"/>
          </w:tcPr>
          <w:p w14:paraId="363043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p>
        </w:tc>
        <w:tc>
          <w:tcPr>
            <w:tcW w:w="3559" w:type="dxa"/>
          </w:tcPr>
          <w:p w14:paraId="5F1D67F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rPr>
            </w:pPr>
            <w:r>
              <w:rPr>
                <w:rFonts w:hint="eastAsia" w:ascii="Times New Roman" w:hAnsi="Times New Roman"/>
              </w:rPr>
              <w:t>螺旋桨未停转即进入场地</w:t>
            </w:r>
          </w:p>
        </w:tc>
        <w:tc>
          <w:tcPr>
            <w:tcW w:w="2045" w:type="dxa"/>
            <w:vAlign w:val="center"/>
          </w:tcPr>
          <w:p w14:paraId="256FD2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扣1</w:t>
            </w:r>
            <w:r>
              <w:rPr>
                <w:rFonts w:ascii="Times New Roman" w:hAnsi="Times New Roman"/>
              </w:rPr>
              <w:t>0</w:t>
            </w:r>
            <w:r>
              <w:rPr>
                <w:rFonts w:hint="eastAsia" w:ascii="Times New Roman" w:hAnsi="Times New Roman"/>
              </w:rPr>
              <w:t>分</w:t>
            </w:r>
          </w:p>
        </w:tc>
        <w:tc>
          <w:tcPr>
            <w:tcW w:w="877" w:type="dxa"/>
          </w:tcPr>
          <w:p w14:paraId="7B6C8F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1A9D35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1754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restart"/>
            <w:vAlign w:val="center"/>
          </w:tcPr>
          <w:p w14:paraId="507B1B0B">
            <w:pPr>
              <w:jc w:val="center"/>
              <w:rPr>
                <w:rFonts w:ascii="Times New Roman" w:hAnsi="Times New Roman"/>
              </w:rPr>
            </w:pPr>
            <w:r>
              <w:rPr>
                <w:rFonts w:hint="eastAsia" w:ascii="Times New Roman" w:hAnsi="Times New Roman"/>
              </w:rPr>
              <w:t>异地</w:t>
            </w:r>
          </w:p>
          <w:p w14:paraId="70B3DA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r>
              <w:rPr>
                <w:rFonts w:hint="eastAsia" w:ascii="Times New Roman" w:hAnsi="Times New Roman"/>
              </w:rPr>
              <w:t>降落</w:t>
            </w:r>
          </w:p>
        </w:tc>
        <w:tc>
          <w:tcPr>
            <w:tcW w:w="4470" w:type="dxa"/>
            <w:shd w:val="clear" w:color="auto" w:fill="auto"/>
            <w:vAlign w:val="center"/>
          </w:tcPr>
          <w:p w14:paraId="4D2A10B4">
            <w:pPr>
              <w:rPr>
                <w:rFonts w:ascii="Times New Roman" w:hAnsi="Times New Roman" w:eastAsiaTheme="minorEastAsia" w:cstheme="minorBidi"/>
                <w:kern w:val="2"/>
                <w:sz w:val="21"/>
                <w:szCs w:val="24"/>
                <w:lang w:val="en-US" w:eastAsia="zh-CN" w:bidi="ar-SA"/>
              </w:rPr>
            </w:pPr>
            <w:r>
              <w:rPr>
                <w:rFonts w:hint="eastAsia" w:ascii="Times New Roman" w:hAnsi="Times New Roman"/>
              </w:rPr>
              <w:t>爬升到20米</w:t>
            </w:r>
          </w:p>
        </w:tc>
        <w:tc>
          <w:tcPr>
            <w:tcW w:w="4661" w:type="dxa"/>
            <w:gridSpan w:val="2"/>
            <w:shd w:val="clear" w:color="auto" w:fill="auto"/>
            <w:vAlign w:val="center"/>
          </w:tcPr>
          <w:p w14:paraId="37A31647">
            <w:pP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未爬升到20米</w:t>
            </w:r>
          </w:p>
        </w:tc>
        <w:tc>
          <w:tcPr>
            <w:tcW w:w="2045" w:type="dxa"/>
            <w:shd w:val="clear" w:color="auto" w:fill="auto"/>
            <w:vAlign w:val="center"/>
          </w:tcPr>
          <w:p w14:paraId="23891483">
            <w:pPr>
              <w:jc w:val="cente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每少1米扣1分</w:t>
            </w:r>
          </w:p>
        </w:tc>
        <w:tc>
          <w:tcPr>
            <w:tcW w:w="877" w:type="dxa"/>
          </w:tcPr>
          <w:p w14:paraId="5AFF6F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640387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3734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0F582D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shd w:val="clear" w:color="auto" w:fill="auto"/>
            <w:vAlign w:val="center"/>
          </w:tcPr>
          <w:p w14:paraId="5CBEDBEE">
            <w:pPr>
              <w:rPr>
                <w:rFonts w:ascii="Times New Roman" w:hAnsi="Times New Roman" w:cs="Times New Roman" w:eastAsiaTheme="minorEastAsia"/>
                <w:b/>
                <w:bCs/>
                <w:kern w:val="2"/>
                <w:sz w:val="24"/>
                <w:szCs w:val="24"/>
                <w:lang w:val="en-US" w:eastAsia="zh-CN" w:bidi="ar-SA"/>
              </w:rPr>
            </w:pPr>
            <w:r>
              <w:rPr>
                <w:rFonts w:hint="eastAsia" w:ascii="Times New Roman" w:hAnsi="Times New Roman"/>
              </w:rPr>
              <w:t>飞行时速度稳定</w:t>
            </w:r>
          </w:p>
        </w:tc>
        <w:tc>
          <w:tcPr>
            <w:tcW w:w="4661" w:type="dxa"/>
            <w:gridSpan w:val="2"/>
            <w:shd w:val="clear" w:color="auto" w:fill="auto"/>
            <w:vAlign w:val="center"/>
          </w:tcPr>
          <w:p w14:paraId="62190E56">
            <w:pPr>
              <w:rPr>
                <w:rFonts w:hint="eastAsia" w:ascii="Times New Roman" w:hAnsi="Times New Roman" w:cs="Times New Roman" w:eastAsiaTheme="minorEastAsia"/>
                <w:b/>
                <w:bCs/>
                <w:kern w:val="2"/>
                <w:sz w:val="24"/>
                <w:szCs w:val="24"/>
                <w:lang w:val="en-US" w:eastAsia="zh-CN" w:bidi="ar-SA"/>
              </w:rPr>
            </w:pPr>
            <w:r>
              <w:rPr>
                <w:rFonts w:hint="eastAsia" w:ascii="Times New Roman" w:hAnsi="Times New Roman"/>
              </w:rPr>
              <w:t>飞行时速度不稳定</w:t>
            </w:r>
          </w:p>
        </w:tc>
        <w:tc>
          <w:tcPr>
            <w:tcW w:w="2045" w:type="dxa"/>
            <w:shd w:val="clear" w:color="auto" w:fill="auto"/>
            <w:vAlign w:val="center"/>
          </w:tcPr>
          <w:p w14:paraId="0545DAA9">
            <w:pPr>
              <w:jc w:val="center"/>
              <w:rPr>
                <w:rFonts w:hint="eastAsia" w:ascii="Times New Roman" w:hAnsi="Times New Roman" w:cs="Times New Roman" w:eastAsiaTheme="minorEastAsia"/>
                <w:b/>
                <w:bCs/>
                <w:kern w:val="2"/>
                <w:sz w:val="24"/>
                <w:szCs w:val="24"/>
                <w:lang w:val="en-US" w:eastAsia="zh-CN" w:bidi="ar-SA"/>
              </w:rPr>
            </w:pPr>
            <w:r>
              <w:rPr>
                <w:rFonts w:hint="eastAsia" w:ascii="Times New Roman" w:hAnsi="Times New Roman"/>
              </w:rPr>
              <w:t>扣</w:t>
            </w:r>
            <w:r>
              <w:rPr>
                <w:rFonts w:ascii="Times New Roman" w:hAnsi="Times New Roman"/>
              </w:rPr>
              <w:t>5</w:t>
            </w:r>
            <w:r>
              <w:rPr>
                <w:rFonts w:hint="eastAsia" w:ascii="Times New Roman" w:hAnsi="Times New Roman"/>
              </w:rPr>
              <w:t>分</w:t>
            </w:r>
          </w:p>
        </w:tc>
        <w:tc>
          <w:tcPr>
            <w:tcW w:w="877" w:type="dxa"/>
          </w:tcPr>
          <w:p w14:paraId="045BF8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79BE99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5D48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366AFB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shd w:val="clear" w:color="auto" w:fill="auto"/>
            <w:vAlign w:val="center"/>
          </w:tcPr>
          <w:p w14:paraId="6F6EA557">
            <w:pPr>
              <w:rPr>
                <w:rFonts w:ascii="Times New Roman" w:hAnsi="Times New Roman" w:cs="Times New Roman" w:eastAsiaTheme="minorEastAsia"/>
                <w:b/>
                <w:bCs/>
                <w:kern w:val="2"/>
                <w:sz w:val="24"/>
                <w:szCs w:val="24"/>
                <w:lang w:val="en-US" w:eastAsia="zh-CN" w:bidi="ar-SA"/>
              </w:rPr>
            </w:pPr>
            <w:r>
              <w:rPr>
                <w:rFonts w:hint="eastAsia" w:ascii="Times New Roman" w:hAnsi="Times New Roman"/>
              </w:rPr>
              <w:t>飞行时背对飞行器，不能目视飞行器</w:t>
            </w:r>
          </w:p>
        </w:tc>
        <w:tc>
          <w:tcPr>
            <w:tcW w:w="4661" w:type="dxa"/>
            <w:gridSpan w:val="2"/>
            <w:shd w:val="clear" w:color="auto" w:fill="auto"/>
            <w:vAlign w:val="center"/>
          </w:tcPr>
          <w:p w14:paraId="626FEE3F">
            <w:pP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飞行时未背对飞行器，目视飞行器</w:t>
            </w:r>
          </w:p>
        </w:tc>
        <w:tc>
          <w:tcPr>
            <w:tcW w:w="2045" w:type="dxa"/>
            <w:shd w:val="clear" w:color="auto" w:fill="auto"/>
            <w:vAlign w:val="center"/>
          </w:tcPr>
          <w:p w14:paraId="01A49B32">
            <w:pPr>
              <w:jc w:val="cente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扣</w:t>
            </w:r>
            <w:r>
              <w:rPr>
                <w:rFonts w:ascii="Times New Roman" w:hAnsi="Times New Roman"/>
              </w:rPr>
              <w:t>10</w:t>
            </w:r>
            <w:r>
              <w:rPr>
                <w:rFonts w:hint="eastAsia" w:ascii="Times New Roman" w:hAnsi="Times New Roman"/>
              </w:rPr>
              <w:t>分</w:t>
            </w:r>
          </w:p>
        </w:tc>
        <w:tc>
          <w:tcPr>
            <w:tcW w:w="877" w:type="dxa"/>
          </w:tcPr>
          <w:p w14:paraId="6C6408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57AD8E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0553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26DA90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shd w:val="clear" w:color="auto" w:fill="auto"/>
            <w:vAlign w:val="center"/>
          </w:tcPr>
          <w:p w14:paraId="56E88A37">
            <w:pPr>
              <w:rPr>
                <w:rFonts w:ascii="Times New Roman" w:hAnsi="Times New Roman" w:cs="Times New Roman" w:eastAsiaTheme="minorEastAsia"/>
                <w:b/>
                <w:bCs/>
                <w:kern w:val="2"/>
                <w:sz w:val="24"/>
                <w:szCs w:val="24"/>
                <w:lang w:val="en-US" w:eastAsia="zh-CN" w:bidi="ar-SA"/>
              </w:rPr>
            </w:pPr>
            <w:r>
              <w:rPr>
                <w:rFonts w:hint="eastAsia" w:ascii="Times New Roman" w:hAnsi="Times New Roman"/>
              </w:rPr>
              <w:t>不能长时间悬停</w:t>
            </w:r>
          </w:p>
        </w:tc>
        <w:tc>
          <w:tcPr>
            <w:tcW w:w="4661" w:type="dxa"/>
            <w:gridSpan w:val="2"/>
            <w:shd w:val="clear" w:color="auto" w:fill="auto"/>
            <w:vAlign w:val="center"/>
          </w:tcPr>
          <w:p w14:paraId="4D11CA0D">
            <w:pP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长时间悬停（超过1</w:t>
            </w:r>
            <w:r>
              <w:rPr>
                <w:rFonts w:ascii="Times New Roman" w:hAnsi="Times New Roman"/>
              </w:rPr>
              <w:t>0</w:t>
            </w:r>
            <w:r>
              <w:rPr>
                <w:rFonts w:hint="eastAsia" w:ascii="Times New Roman" w:hAnsi="Times New Roman"/>
              </w:rPr>
              <w:t>S）</w:t>
            </w:r>
          </w:p>
        </w:tc>
        <w:tc>
          <w:tcPr>
            <w:tcW w:w="2045" w:type="dxa"/>
            <w:shd w:val="clear" w:color="auto" w:fill="auto"/>
            <w:vAlign w:val="center"/>
          </w:tcPr>
          <w:p w14:paraId="0A99D188">
            <w:pPr>
              <w:jc w:val="cente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扣</w:t>
            </w:r>
            <w:r>
              <w:rPr>
                <w:rFonts w:ascii="Times New Roman" w:hAnsi="Times New Roman"/>
              </w:rPr>
              <w:t>5</w:t>
            </w:r>
            <w:r>
              <w:rPr>
                <w:rFonts w:hint="eastAsia" w:ascii="Times New Roman" w:hAnsi="Times New Roman"/>
              </w:rPr>
              <w:t>分</w:t>
            </w:r>
          </w:p>
        </w:tc>
        <w:tc>
          <w:tcPr>
            <w:tcW w:w="877" w:type="dxa"/>
          </w:tcPr>
          <w:p w14:paraId="792977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40DF06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72E1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53EF03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shd w:val="clear" w:color="auto" w:fill="auto"/>
            <w:vAlign w:val="center"/>
          </w:tcPr>
          <w:p w14:paraId="34B4AC0C">
            <w:pPr>
              <w:rPr>
                <w:rFonts w:ascii="Times New Roman" w:hAnsi="Times New Roman" w:eastAsiaTheme="minorEastAsia" w:cstheme="minorBidi"/>
                <w:kern w:val="2"/>
                <w:sz w:val="21"/>
                <w:szCs w:val="24"/>
                <w:lang w:val="en-US" w:eastAsia="zh-CN" w:bidi="ar-SA"/>
              </w:rPr>
            </w:pPr>
            <w:r>
              <w:rPr>
                <w:rFonts w:hint="eastAsia" w:ascii="Times New Roman" w:hAnsi="Times New Roman"/>
              </w:rPr>
              <w:t>降落到指定场地内</w:t>
            </w:r>
          </w:p>
        </w:tc>
        <w:tc>
          <w:tcPr>
            <w:tcW w:w="4661" w:type="dxa"/>
            <w:gridSpan w:val="2"/>
            <w:shd w:val="clear" w:color="auto" w:fill="auto"/>
            <w:vAlign w:val="center"/>
          </w:tcPr>
          <w:p w14:paraId="4B2D3BA7">
            <w:pP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未降落到指定场地内</w:t>
            </w:r>
          </w:p>
        </w:tc>
        <w:tc>
          <w:tcPr>
            <w:tcW w:w="2045" w:type="dxa"/>
            <w:shd w:val="clear" w:color="auto" w:fill="auto"/>
            <w:vAlign w:val="center"/>
          </w:tcPr>
          <w:p w14:paraId="58171BCF">
            <w:pPr>
              <w:jc w:val="cente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扣</w:t>
            </w:r>
            <w:r>
              <w:rPr>
                <w:rFonts w:ascii="Times New Roman" w:hAnsi="Times New Roman"/>
              </w:rPr>
              <w:t>5</w:t>
            </w:r>
            <w:r>
              <w:rPr>
                <w:rFonts w:hint="eastAsia" w:ascii="Times New Roman" w:hAnsi="Times New Roman"/>
              </w:rPr>
              <w:t>分</w:t>
            </w:r>
          </w:p>
        </w:tc>
        <w:tc>
          <w:tcPr>
            <w:tcW w:w="877" w:type="dxa"/>
          </w:tcPr>
          <w:p w14:paraId="17B7BF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37AA56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4153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vMerge w:val="continue"/>
            <w:vAlign w:val="center"/>
          </w:tcPr>
          <w:p w14:paraId="0871BD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4470" w:type="dxa"/>
            <w:shd w:val="clear" w:color="auto" w:fill="auto"/>
            <w:vAlign w:val="center"/>
          </w:tcPr>
          <w:p w14:paraId="330D264F">
            <w:pPr>
              <w:rPr>
                <w:rFonts w:ascii="Times New Roman" w:hAnsi="Times New Roman" w:eastAsiaTheme="minorEastAsia" w:cstheme="minorBidi"/>
                <w:kern w:val="2"/>
                <w:sz w:val="21"/>
                <w:szCs w:val="24"/>
                <w:lang w:val="en-US" w:eastAsia="zh-CN" w:bidi="ar-SA"/>
              </w:rPr>
            </w:pPr>
            <w:r>
              <w:rPr>
                <w:rFonts w:hint="eastAsia" w:ascii="Times New Roman" w:hAnsi="Times New Roman"/>
              </w:rPr>
              <w:t>状态汇报</w:t>
            </w:r>
          </w:p>
        </w:tc>
        <w:tc>
          <w:tcPr>
            <w:tcW w:w="4661" w:type="dxa"/>
            <w:gridSpan w:val="2"/>
            <w:shd w:val="clear" w:color="auto" w:fill="auto"/>
            <w:vAlign w:val="center"/>
          </w:tcPr>
          <w:p w14:paraId="2094167B">
            <w:pP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未进行状态汇报</w:t>
            </w:r>
          </w:p>
        </w:tc>
        <w:tc>
          <w:tcPr>
            <w:tcW w:w="2045" w:type="dxa"/>
            <w:shd w:val="clear" w:color="auto" w:fill="auto"/>
            <w:vAlign w:val="center"/>
          </w:tcPr>
          <w:p w14:paraId="73825CEF">
            <w:pPr>
              <w:jc w:val="cente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每次扣2分</w:t>
            </w:r>
          </w:p>
        </w:tc>
        <w:tc>
          <w:tcPr>
            <w:tcW w:w="877" w:type="dxa"/>
          </w:tcPr>
          <w:p w14:paraId="4AF135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1169" w:type="dxa"/>
            <w:vAlign w:val="center"/>
          </w:tcPr>
          <w:p w14:paraId="009C55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r w14:paraId="21BF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2" w:type="dxa"/>
          </w:tcPr>
          <w:p w14:paraId="4AE684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rPr>
              <w:t>数据</w:t>
            </w:r>
          </w:p>
          <w:p w14:paraId="7BDC78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r>
              <w:rPr>
                <w:rFonts w:hint="eastAsia" w:ascii="Times New Roman" w:hAnsi="Times New Roman"/>
              </w:rPr>
              <w:t>提交</w:t>
            </w:r>
          </w:p>
        </w:tc>
        <w:tc>
          <w:tcPr>
            <w:tcW w:w="0" w:type="auto"/>
            <w:shd w:val="clear" w:color="auto" w:fill="auto"/>
            <w:vAlign w:val="center"/>
          </w:tcPr>
          <w:p w14:paraId="51C79CDC">
            <w:pPr>
              <w:rPr>
                <w:rFonts w:ascii="Times New Roman" w:hAnsi="Times New Roman" w:eastAsiaTheme="minorEastAsia" w:cstheme="minorBidi"/>
                <w:kern w:val="2"/>
                <w:sz w:val="21"/>
                <w:szCs w:val="24"/>
                <w:lang w:val="en-US" w:eastAsia="zh-CN" w:bidi="ar-SA"/>
              </w:rPr>
            </w:pPr>
            <w:r>
              <w:rPr>
                <w:rFonts w:hint="eastAsia" w:ascii="Times New Roman" w:hAnsi="Times New Roman"/>
              </w:rPr>
              <w:t>提交数据存储卡</w:t>
            </w:r>
          </w:p>
        </w:tc>
        <w:tc>
          <w:tcPr>
            <w:tcW w:w="0" w:type="auto"/>
            <w:gridSpan w:val="2"/>
            <w:shd w:val="clear" w:color="auto" w:fill="auto"/>
            <w:vAlign w:val="center"/>
          </w:tcPr>
          <w:p w14:paraId="515FEF3D">
            <w:pP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存储卡未提交</w:t>
            </w:r>
          </w:p>
        </w:tc>
        <w:tc>
          <w:tcPr>
            <w:tcW w:w="0" w:type="auto"/>
            <w:shd w:val="clear" w:color="auto" w:fill="auto"/>
            <w:vAlign w:val="center"/>
          </w:tcPr>
          <w:p w14:paraId="085326DC">
            <w:pPr>
              <w:jc w:val="center"/>
              <w:rPr>
                <w:rFonts w:hint="eastAsia" w:ascii="Times New Roman" w:hAnsi="Times New Roman" w:eastAsiaTheme="minorEastAsia" w:cstheme="minorBidi"/>
                <w:kern w:val="2"/>
                <w:sz w:val="21"/>
                <w:szCs w:val="24"/>
                <w:lang w:val="en-US" w:eastAsia="zh-CN" w:bidi="ar-SA"/>
              </w:rPr>
            </w:pPr>
            <w:r>
              <w:rPr>
                <w:rFonts w:hint="eastAsia" w:ascii="Times New Roman" w:hAnsi="Times New Roman"/>
              </w:rPr>
              <w:t>扣2</w:t>
            </w:r>
            <w:r>
              <w:rPr>
                <w:rFonts w:ascii="Times New Roman" w:hAnsi="Times New Roman"/>
              </w:rPr>
              <w:t>0</w:t>
            </w:r>
            <w:r>
              <w:rPr>
                <w:rFonts w:hint="eastAsia" w:ascii="Times New Roman" w:hAnsi="Times New Roman"/>
              </w:rPr>
              <w:t>分</w:t>
            </w:r>
          </w:p>
        </w:tc>
        <w:tc>
          <w:tcPr>
            <w:tcW w:w="0" w:type="auto"/>
          </w:tcPr>
          <w:p w14:paraId="6C75B7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c>
          <w:tcPr>
            <w:tcW w:w="0" w:type="auto"/>
          </w:tcPr>
          <w:p w14:paraId="3001E7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cs="Times New Roman"/>
                <w:b/>
                <w:bCs/>
                <w:sz w:val="24"/>
              </w:rPr>
            </w:pPr>
          </w:p>
        </w:tc>
      </w:tr>
    </w:tbl>
    <w:p w14:paraId="215273FA">
      <w:pPr>
        <w:jc w:val="center"/>
        <w:rPr>
          <w:rFonts w:ascii="Times New Roman" w:hAnsi="Times New Roman"/>
        </w:rPr>
      </w:pPr>
    </w:p>
    <w:p w14:paraId="666DF1C3">
      <w:pPr>
        <w:jc w:val="center"/>
        <w:rPr>
          <w:rFonts w:ascii="Times New Roman" w:hAnsi="Times New Roman"/>
        </w:rPr>
      </w:pPr>
    </w:p>
    <w:tbl>
      <w:tblPr>
        <w:tblStyle w:val="8"/>
        <w:tblW w:w="14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4166"/>
        <w:gridCol w:w="4290"/>
        <w:gridCol w:w="2509"/>
        <w:gridCol w:w="858"/>
        <w:gridCol w:w="1143"/>
      </w:tblGrid>
      <w:tr w14:paraId="291E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119" w:type="dxa"/>
            <w:vAlign w:val="center"/>
          </w:tcPr>
          <w:p w14:paraId="79EDBEF4">
            <w:pPr>
              <w:jc w:val="center"/>
              <w:rPr>
                <w:rFonts w:ascii="Times New Roman" w:hAnsi="Times New Roman"/>
              </w:rPr>
            </w:pPr>
            <w:r>
              <w:rPr>
                <w:rFonts w:hint="eastAsia" w:ascii="Times New Roman" w:hAnsi="Times New Roman"/>
              </w:rPr>
              <w:t>实操比赛范围</w:t>
            </w:r>
          </w:p>
        </w:tc>
        <w:tc>
          <w:tcPr>
            <w:tcW w:w="4166" w:type="dxa"/>
            <w:vAlign w:val="center"/>
          </w:tcPr>
          <w:p w14:paraId="58E57256">
            <w:pPr>
              <w:rPr>
                <w:rFonts w:ascii="Times New Roman" w:hAnsi="Times New Roman"/>
              </w:rPr>
            </w:pPr>
            <w:r>
              <w:rPr>
                <w:rFonts w:hint="eastAsia" w:ascii="Times New Roman" w:hAnsi="Times New Roman"/>
              </w:rPr>
              <w:t>在划定区域内完成以上实操项目</w:t>
            </w:r>
          </w:p>
        </w:tc>
        <w:tc>
          <w:tcPr>
            <w:tcW w:w="4290" w:type="dxa"/>
            <w:vAlign w:val="center"/>
          </w:tcPr>
          <w:p w14:paraId="4C201151">
            <w:pPr>
              <w:rPr>
                <w:rFonts w:ascii="Times New Roman" w:hAnsi="Times New Roman"/>
              </w:rPr>
            </w:pPr>
            <w:r>
              <w:rPr>
                <w:rFonts w:hint="eastAsia" w:ascii="Times New Roman" w:hAnsi="Times New Roman"/>
              </w:rPr>
              <w:t>飞行时超出划定比赛范围</w:t>
            </w:r>
          </w:p>
        </w:tc>
        <w:tc>
          <w:tcPr>
            <w:tcW w:w="2509" w:type="dxa"/>
            <w:vAlign w:val="center"/>
          </w:tcPr>
          <w:p w14:paraId="0E02D9B3">
            <w:pPr>
              <w:jc w:val="center"/>
              <w:rPr>
                <w:rFonts w:ascii="Times New Roman" w:hAnsi="Times New Roman"/>
              </w:rPr>
            </w:pPr>
            <w:r>
              <w:rPr>
                <w:rFonts w:hint="eastAsia" w:ascii="Times New Roman" w:hAnsi="Times New Roman"/>
              </w:rPr>
              <w:t>超出1次扣</w:t>
            </w:r>
            <w:r>
              <w:rPr>
                <w:rFonts w:ascii="Times New Roman" w:hAnsi="Times New Roman"/>
              </w:rPr>
              <w:t>5</w:t>
            </w:r>
            <w:r>
              <w:rPr>
                <w:rFonts w:hint="eastAsia" w:ascii="Times New Roman" w:hAnsi="Times New Roman"/>
              </w:rPr>
              <w:t>分；出现影响比赛安全的取消实操成绩</w:t>
            </w:r>
          </w:p>
        </w:tc>
        <w:tc>
          <w:tcPr>
            <w:tcW w:w="858" w:type="dxa"/>
          </w:tcPr>
          <w:p w14:paraId="7814C8D3">
            <w:pPr>
              <w:jc w:val="center"/>
              <w:rPr>
                <w:rFonts w:ascii="Times New Roman" w:hAnsi="Times New Roman" w:cs="Times New Roman"/>
                <w:b/>
                <w:bCs/>
                <w:sz w:val="24"/>
              </w:rPr>
            </w:pPr>
          </w:p>
        </w:tc>
        <w:tc>
          <w:tcPr>
            <w:tcW w:w="1143" w:type="dxa"/>
            <w:vAlign w:val="center"/>
          </w:tcPr>
          <w:p w14:paraId="2E3F38EE">
            <w:pPr>
              <w:jc w:val="center"/>
              <w:rPr>
                <w:rFonts w:ascii="Times New Roman" w:hAnsi="Times New Roman" w:cs="Times New Roman"/>
                <w:b/>
                <w:bCs/>
                <w:sz w:val="24"/>
              </w:rPr>
            </w:pPr>
          </w:p>
        </w:tc>
      </w:tr>
      <w:tr w14:paraId="2DEB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1119" w:type="dxa"/>
            <w:vAlign w:val="center"/>
          </w:tcPr>
          <w:p w14:paraId="75B3AD9D">
            <w:pPr>
              <w:jc w:val="center"/>
              <w:rPr>
                <w:rFonts w:ascii="Times New Roman" w:hAnsi="Times New Roman"/>
              </w:rPr>
            </w:pPr>
            <w:r>
              <w:rPr>
                <w:rFonts w:hint="eastAsia" w:ascii="Times New Roman" w:hAnsi="Times New Roman"/>
              </w:rPr>
              <w:t>时间</w:t>
            </w:r>
          </w:p>
        </w:tc>
        <w:tc>
          <w:tcPr>
            <w:tcW w:w="4166" w:type="dxa"/>
            <w:vAlign w:val="center"/>
          </w:tcPr>
          <w:p w14:paraId="7427B97B">
            <w:pPr>
              <w:rPr>
                <w:rFonts w:ascii="Times New Roman" w:hAnsi="Times New Roman"/>
              </w:rPr>
            </w:pPr>
            <w:r>
              <w:rPr>
                <w:rFonts w:hint="eastAsia" w:ascii="Times New Roman" w:hAnsi="Times New Roman"/>
              </w:rPr>
              <w:t>在3</w:t>
            </w:r>
            <w:r>
              <w:rPr>
                <w:rFonts w:ascii="Times New Roman" w:hAnsi="Times New Roman"/>
              </w:rPr>
              <w:t>0</w:t>
            </w:r>
            <w:r>
              <w:rPr>
                <w:rFonts w:hint="eastAsia" w:ascii="Times New Roman" w:hAnsi="Times New Roman"/>
              </w:rPr>
              <w:t>分钟内完成所有比赛科目</w:t>
            </w:r>
          </w:p>
        </w:tc>
        <w:tc>
          <w:tcPr>
            <w:tcW w:w="4290" w:type="dxa"/>
            <w:vAlign w:val="center"/>
          </w:tcPr>
          <w:p w14:paraId="1745C654">
            <w:pPr>
              <w:rPr>
                <w:rFonts w:ascii="Times New Roman" w:hAnsi="Times New Roman"/>
              </w:rPr>
            </w:pPr>
            <w:r>
              <w:rPr>
                <w:rFonts w:hint="eastAsia" w:ascii="Times New Roman" w:hAnsi="Times New Roman"/>
              </w:rPr>
              <w:t>时间超过指定时间</w:t>
            </w:r>
          </w:p>
        </w:tc>
        <w:tc>
          <w:tcPr>
            <w:tcW w:w="2509" w:type="dxa"/>
            <w:vAlign w:val="center"/>
          </w:tcPr>
          <w:p w14:paraId="5DFA6F2C">
            <w:pPr>
              <w:jc w:val="center"/>
              <w:rPr>
                <w:rFonts w:ascii="Times New Roman" w:hAnsi="Times New Roman"/>
              </w:rPr>
            </w:pPr>
            <w:r>
              <w:rPr>
                <w:rFonts w:hint="eastAsia" w:ascii="Times New Roman" w:hAnsi="Times New Roman"/>
              </w:rPr>
              <w:t>超时扣4分；每超时多1分钟累计加扣</w:t>
            </w:r>
            <w:r>
              <w:rPr>
                <w:rFonts w:ascii="Times New Roman" w:hAnsi="Times New Roman"/>
              </w:rPr>
              <w:t>4</w:t>
            </w:r>
            <w:r>
              <w:rPr>
                <w:rFonts w:hint="eastAsia" w:ascii="Times New Roman" w:hAnsi="Times New Roman"/>
              </w:rPr>
              <w:t>分；超时</w:t>
            </w:r>
            <w:r>
              <w:rPr>
                <w:rFonts w:ascii="Times New Roman" w:hAnsi="Times New Roman"/>
              </w:rPr>
              <w:t>5</w:t>
            </w:r>
            <w:r>
              <w:rPr>
                <w:rFonts w:hint="eastAsia" w:ascii="Times New Roman" w:hAnsi="Times New Roman"/>
              </w:rPr>
              <w:t>分钟（不含）以上比赛成绩为0分</w:t>
            </w:r>
          </w:p>
        </w:tc>
        <w:tc>
          <w:tcPr>
            <w:tcW w:w="858" w:type="dxa"/>
          </w:tcPr>
          <w:p w14:paraId="14EC3679">
            <w:pPr>
              <w:jc w:val="center"/>
              <w:rPr>
                <w:rFonts w:ascii="Times New Roman" w:hAnsi="Times New Roman" w:cs="Times New Roman"/>
                <w:b/>
                <w:bCs/>
                <w:sz w:val="24"/>
              </w:rPr>
            </w:pPr>
          </w:p>
        </w:tc>
        <w:tc>
          <w:tcPr>
            <w:tcW w:w="1143" w:type="dxa"/>
            <w:vAlign w:val="center"/>
          </w:tcPr>
          <w:p w14:paraId="6B6D3161">
            <w:pPr>
              <w:jc w:val="center"/>
              <w:rPr>
                <w:rFonts w:ascii="Times New Roman" w:hAnsi="Times New Roman" w:cs="Times New Roman"/>
                <w:b/>
                <w:bCs/>
                <w:sz w:val="24"/>
              </w:rPr>
            </w:pPr>
          </w:p>
        </w:tc>
      </w:tr>
      <w:tr w14:paraId="75A5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119" w:type="dxa"/>
            <w:vAlign w:val="center"/>
          </w:tcPr>
          <w:p w14:paraId="37EE0B01">
            <w:pPr>
              <w:jc w:val="center"/>
              <w:rPr>
                <w:rFonts w:ascii="Times New Roman" w:hAnsi="Times New Roman"/>
              </w:rPr>
            </w:pPr>
            <w:r>
              <w:rPr>
                <w:rFonts w:hint="eastAsia" w:ascii="Times New Roman" w:hAnsi="Times New Roman"/>
              </w:rPr>
              <w:t>赛事</w:t>
            </w:r>
          </w:p>
          <w:p w14:paraId="5307A77E">
            <w:pPr>
              <w:jc w:val="center"/>
              <w:rPr>
                <w:rFonts w:ascii="Times New Roman" w:hAnsi="Times New Roman"/>
              </w:rPr>
            </w:pPr>
            <w:r>
              <w:rPr>
                <w:rFonts w:hint="eastAsia" w:ascii="Times New Roman" w:hAnsi="Times New Roman"/>
              </w:rPr>
              <w:t>秩序</w:t>
            </w:r>
          </w:p>
        </w:tc>
        <w:tc>
          <w:tcPr>
            <w:tcW w:w="4166" w:type="dxa"/>
            <w:vAlign w:val="center"/>
          </w:tcPr>
          <w:p w14:paraId="6BACA5EE">
            <w:pPr>
              <w:rPr>
                <w:rFonts w:ascii="Times New Roman" w:hAnsi="Times New Roman"/>
              </w:rPr>
            </w:pPr>
            <w:r>
              <w:rPr>
                <w:rFonts w:hint="eastAsia" w:ascii="Times New Roman" w:hAnsi="Times New Roman"/>
              </w:rPr>
              <w:t>服从裁判指挥，有秩有序参加比赛</w:t>
            </w:r>
          </w:p>
        </w:tc>
        <w:tc>
          <w:tcPr>
            <w:tcW w:w="4290" w:type="dxa"/>
            <w:vAlign w:val="center"/>
          </w:tcPr>
          <w:p w14:paraId="1A12DD48">
            <w:pPr>
              <w:rPr>
                <w:rFonts w:ascii="Times New Roman" w:hAnsi="Times New Roman"/>
              </w:rPr>
            </w:pPr>
            <w:r>
              <w:rPr>
                <w:rFonts w:hint="eastAsia" w:ascii="Times New Roman" w:hAnsi="Times New Roman"/>
              </w:rPr>
              <w:t>不服从裁判指挥或干扰其他队伍比赛等事项</w:t>
            </w:r>
          </w:p>
        </w:tc>
        <w:tc>
          <w:tcPr>
            <w:tcW w:w="2509" w:type="dxa"/>
            <w:vAlign w:val="center"/>
          </w:tcPr>
          <w:p w14:paraId="0DFBB897">
            <w:pPr>
              <w:jc w:val="center"/>
              <w:rPr>
                <w:rFonts w:ascii="Times New Roman" w:hAnsi="Times New Roman"/>
              </w:rPr>
            </w:pPr>
            <w:r>
              <w:rPr>
                <w:rFonts w:hint="eastAsia" w:ascii="Times New Roman" w:hAnsi="Times New Roman"/>
              </w:rPr>
              <w:t>不服从裁判指挥或影响其他队伍正常操作扣</w:t>
            </w:r>
            <w:r>
              <w:rPr>
                <w:rFonts w:ascii="Times New Roman" w:hAnsi="Times New Roman"/>
              </w:rPr>
              <w:t>20</w:t>
            </w:r>
            <w:r>
              <w:rPr>
                <w:rFonts w:hint="eastAsia" w:ascii="Times New Roman" w:hAnsi="Times New Roman"/>
              </w:rPr>
              <w:t>分，严重者取消比赛。</w:t>
            </w:r>
          </w:p>
        </w:tc>
        <w:tc>
          <w:tcPr>
            <w:tcW w:w="858" w:type="dxa"/>
          </w:tcPr>
          <w:p w14:paraId="4C1C1CFB">
            <w:pPr>
              <w:jc w:val="center"/>
              <w:rPr>
                <w:rFonts w:ascii="Times New Roman" w:hAnsi="Times New Roman" w:cs="Times New Roman"/>
                <w:b/>
                <w:bCs/>
                <w:sz w:val="24"/>
              </w:rPr>
            </w:pPr>
          </w:p>
        </w:tc>
        <w:tc>
          <w:tcPr>
            <w:tcW w:w="1143" w:type="dxa"/>
            <w:vAlign w:val="center"/>
          </w:tcPr>
          <w:p w14:paraId="009E0528">
            <w:pPr>
              <w:jc w:val="center"/>
              <w:rPr>
                <w:rFonts w:ascii="Times New Roman" w:hAnsi="Times New Roman" w:cs="Times New Roman"/>
                <w:b/>
                <w:bCs/>
                <w:sz w:val="24"/>
              </w:rPr>
            </w:pPr>
          </w:p>
        </w:tc>
      </w:tr>
    </w:tbl>
    <w:p w14:paraId="46AC2F9B">
      <w:pPr>
        <w:jc w:val="center"/>
        <w:rPr>
          <w:rFonts w:ascii="Times New Roman" w:hAnsi="Times New Roman"/>
        </w:rPr>
      </w:pPr>
    </w:p>
    <w:p w14:paraId="120A6DB5">
      <w:pPr>
        <w:jc w:val="center"/>
        <w:rPr>
          <w:rFonts w:ascii="Times New Roman" w:hAnsi="Times New Roman"/>
        </w:rPr>
        <w:sectPr>
          <w:pgSz w:w="16838" w:h="11906" w:orient="landscape"/>
          <w:pgMar w:top="1417" w:right="1440" w:bottom="1134" w:left="1440" w:header="851" w:footer="1417" w:gutter="0"/>
          <w:pgNumType w:fmt="decimal"/>
          <w:cols w:space="0" w:num="1"/>
          <w:rtlGutter w:val="0"/>
          <w:docGrid w:type="lines" w:linePitch="319" w:charSpace="0"/>
        </w:sectPr>
      </w:pPr>
    </w:p>
    <w:p w14:paraId="1B2911DB">
      <w:pPr>
        <w:rPr>
          <w:rFonts w:ascii="Times New Roman" w:hAnsi="Times New Roman" w:cs="Times New Roman"/>
          <w:sz w:val="24"/>
        </w:rPr>
      </w:pPr>
    </w:p>
    <w:sectPr>
      <w:footerReference r:id="rId4" w:type="default"/>
      <w:pgSz w:w="16838" w:h="11906" w:orient="landscape"/>
      <w:pgMar w:top="567" w:right="1440" w:bottom="0" w:left="1440" w:header="851" w:footer="567" w:gutter="0"/>
      <w:pgNumType w:fmt="decimal"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FCC0">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C96F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10C96F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7D8CF">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54595"/>
    <w:multiLevelType w:val="multilevel"/>
    <w:tmpl w:val="77054595"/>
    <w:lvl w:ilvl="0" w:tentative="0">
      <w:start w:val="1"/>
      <w:numFmt w:val="chineseCountingThousand"/>
      <w:pStyle w:val="2"/>
      <w:suff w:val="space"/>
      <w:lvlText w:val="%1、"/>
      <w:lvlJc w:val="left"/>
      <w:pPr>
        <w:ind w:left="630" w:hanging="420"/>
      </w:pPr>
      <w:rPr>
        <w:rFonts w:hint="eastAsia"/>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xNGJjNmVkZGI1YzAzMTE3NTA2MjgwZjk4NTlhNTQifQ=="/>
  </w:docVars>
  <w:rsids>
    <w:rsidRoot w:val="00172A27"/>
    <w:rsid w:val="000005B1"/>
    <w:rsid w:val="000015D4"/>
    <w:rsid w:val="00003BAF"/>
    <w:rsid w:val="00004041"/>
    <w:rsid w:val="000105BB"/>
    <w:rsid w:val="00016042"/>
    <w:rsid w:val="00051D84"/>
    <w:rsid w:val="0005380D"/>
    <w:rsid w:val="00071AB9"/>
    <w:rsid w:val="00074DBE"/>
    <w:rsid w:val="00084284"/>
    <w:rsid w:val="0008453E"/>
    <w:rsid w:val="00096CB4"/>
    <w:rsid w:val="000B0017"/>
    <w:rsid w:val="000B4881"/>
    <w:rsid w:val="000D0CE2"/>
    <w:rsid w:val="000D3FB1"/>
    <w:rsid w:val="000E1924"/>
    <w:rsid w:val="000F66BC"/>
    <w:rsid w:val="00101BD8"/>
    <w:rsid w:val="0011344D"/>
    <w:rsid w:val="001421D0"/>
    <w:rsid w:val="0015082D"/>
    <w:rsid w:val="001515C3"/>
    <w:rsid w:val="00154DAC"/>
    <w:rsid w:val="00154F49"/>
    <w:rsid w:val="00172A27"/>
    <w:rsid w:val="001A304A"/>
    <w:rsid w:val="001A5D2A"/>
    <w:rsid w:val="001D3D0D"/>
    <w:rsid w:val="001E0EBA"/>
    <w:rsid w:val="001E1FCF"/>
    <w:rsid w:val="001E6270"/>
    <w:rsid w:val="001F39E2"/>
    <w:rsid w:val="00201D27"/>
    <w:rsid w:val="00204626"/>
    <w:rsid w:val="00220602"/>
    <w:rsid w:val="00220F03"/>
    <w:rsid w:val="00220F8E"/>
    <w:rsid w:val="00226483"/>
    <w:rsid w:val="00285724"/>
    <w:rsid w:val="002A68BD"/>
    <w:rsid w:val="002B3345"/>
    <w:rsid w:val="002B5D1C"/>
    <w:rsid w:val="002C47BC"/>
    <w:rsid w:val="002E3DD6"/>
    <w:rsid w:val="002E6729"/>
    <w:rsid w:val="00305606"/>
    <w:rsid w:val="00310D00"/>
    <w:rsid w:val="00316A37"/>
    <w:rsid w:val="00337FB2"/>
    <w:rsid w:val="003810AE"/>
    <w:rsid w:val="00383676"/>
    <w:rsid w:val="00384906"/>
    <w:rsid w:val="003902EA"/>
    <w:rsid w:val="003A14B6"/>
    <w:rsid w:val="003A690E"/>
    <w:rsid w:val="003A69C3"/>
    <w:rsid w:val="003C4EFF"/>
    <w:rsid w:val="003D038D"/>
    <w:rsid w:val="003F1F6C"/>
    <w:rsid w:val="003F2A52"/>
    <w:rsid w:val="004064E8"/>
    <w:rsid w:val="00426653"/>
    <w:rsid w:val="00440FF8"/>
    <w:rsid w:val="0046716A"/>
    <w:rsid w:val="00477FC0"/>
    <w:rsid w:val="004869E4"/>
    <w:rsid w:val="004A7937"/>
    <w:rsid w:val="004B13D6"/>
    <w:rsid w:val="004C2EF3"/>
    <w:rsid w:val="004D28F6"/>
    <w:rsid w:val="004E6D79"/>
    <w:rsid w:val="00525295"/>
    <w:rsid w:val="005559D8"/>
    <w:rsid w:val="00555A82"/>
    <w:rsid w:val="0057246E"/>
    <w:rsid w:val="00580C42"/>
    <w:rsid w:val="00592402"/>
    <w:rsid w:val="00593C11"/>
    <w:rsid w:val="005B3E1A"/>
    <w:rsid w:val="005B5263"/>
    <w:rsid w:val="005C7D58"/>
    <w:rsid w:val="005E2FC4"/>
    <w:rsid w:val="005E59E0"/>
    <w:rsid w:val="005E791A"/>
    <w:rsid w:val="005F188C"/>
    <w:rsid w:val="00606593"/>
    <w:rsid w:val="00616B59"/>
    <w:rsid w:val="006213A7"/>
    <w:rsid w:val="006466D7"/>
    <w:rsid w:val="00651B9F"/>
    <w:rsid w:val="00652707"/>
    <w:rsid w:val="006602EF"/>
    <w:rsid w:val="006639A3"/>
    <w:rsid w:val="00666E8C"/>
    <w:rsid w:val="0067390E"/>
    <w:rsid w:val="00686493"/>
    <w:rsid w:val="00690016"/>
    <w:rsid w:val="0069146F"/>
    <w:rsid w:val="006A18F8"/>
    <w:rsid w:val="006E5709"/>
    <w:rsid w:val="006F1A40"/>
    <w:rsid w:val="00716946"/>
    <w:rsid w:val="0073233A"/>
    <w:rsid w:val="007433F1"/>
    <w:rsid w:val="007564FE"/>
    <w:rsid w:val="00774172"/>
    <w:rsid w:val="00797119"/>
    <w:rsid w:val="007A1FA0"/>
    <w:rsid w:val="007A23A3"/>
    <w:rsid w:val="007B0BC9"/>
    <w:rsid w:val="007B1D3A"/>
    <w:rsid w:val="007C7310"/>
    <w:rsid w:val="007D278C"/>
    <w:rsid w:val="007D57FE"/>
    <w:rsid w:val="007E02C9"/>
    <w:rsid w:val="007F60DE"/>
    <w:rsid w:val="007F7090"/>
    <w:rsid w:val="00806A41"/>
    <w:rsid w:val="00807B1B"/>
    <w:rsid w:val="00817759"/>
    <w:rsid w:val="00830A5B"/>
    <w:rsid w:val="0084370E"/>
    <w:rsid w:val="0085383C"/>
    <w:rsid w:val="00876A70"/>
    <w:rsid w:val="00887E27"/>
    <w:rsid w:val="0089755E"/>
    <w:rsid w:val="008A2384"/>
    <w:rsid w:val="008D04E8"/>
    <w:rsid w:val="008D219A"/>
    <w:rsid w:val="008D2B78"/>
    <w:rsid w:val="008D6FB4"/>
    <w:rsid w:val="008D7C65"/>
    <w:rsid w:val="008E348D"/>
    <w:rsid w:val="008E70BD"/>
    <w:rsid w:val="008F25C2"/>
    <w:rsid w:val="00900058"/>
    <w:rsid w:val="009036DE"/>
    <w:rsid w:val="00930F12"/>
    <w:rsid w:val="0094201A"/>
    <w:rsid w:val="00954DEF"/>
    <w:rsid w:val="009616A8"/>
    <w:rsid w:val="00966B9B"/>
    <w:rsid w:val="0097150F"/>
    <w:rsid w:val="00974BBA"/>
    <w:rsid w:val="0097745B"/>
    <w:rsid w:val="009779A6"/>
    <w:rsid w:val="00996D77"/>
    <w:rsid w:val="009B2B5B"/>
    <w:rsid w:val="009B2FB2"/>
    <w:rsid w:val="009C3D2F"/>
    <w:rsid w:val="009D3A73"/>
    <w:rsid w:val="009E05ED"/>
    <w:rsid w:val="009F767B"/>
    <w:rsid w:val="00A0425A"/>
    <w:rsid w:val="00A064C9"/>
    <w:rsid w:val="00A134FC"/>
    <w:rsid w:val="00A15D9A"/>
    <w:rsid w:val="00A22760"/>
    <w:rsid w:val="00A32034"/>
    <w:rsid w:val="00A3537E"/>
    <w:rsid w:val="00A354F8"/>
    <w:rsid w:val="00A36B89"/>
    <w:rsid w:val="00A37441"/>
    <w:rsid w:val="00A5193E"/>
    <w:rsid w:val="00A5523E"/>
    <w:rsid w:val="00A7495A"/>
    <w:rsid w:val="00AC54E3"/>
    <w:rsid w:val="00AC5FF0"/>
    <w:rsid w:val="00AC6331"/>
    <w:rsid w:val="00AD11CB"/>
    <w:rsid w:val="00AE2BAB"/>
    <w:rsid w:val="00AF5E44"/>
    <w:rsid w:val="00B00A8F"/>
    <w:rsid w:val="00B021A1"/>
    <w:rsid w:val="00B13137"/>
    <w:rsid w:val="00B17543"/>
    <w:rsid w:val="00B36448"/>
    <w:rsid w:val="00B41C3D"/>
    <w:rsid w:val="00B431F9"/>
    <w:rsid w:val="00B464F9"/>
    <w:rsid w:val="00B64645"/>
    <w:rsid w:val="00B84C5B"/>
    <w:rsid w:val="00BB055D"/>
    <w:rsid w:val="00BB065A"/>
    <w:rsid w:val="00BC3828"/>
    <w:rsid w:val="00BC52DA"/>
    <w:rsid w:val="00BC74F8"/>
    <w:rsid w:val="00C04AE4"/>
    <w:rsid w:val="00C267F6"/>
    <w:rsid w:val="00C53651"/>
    <w:rsid w:val="00C6228C"/>
    <w:rsid w:val="00C732F0"/>
    <w:rsid w:val="00C77B66"/>
    <w:rsid w:val="00C859DE"/>
    <w:rsid w:val="00CA3B0B"/>
    <w:rsid w:val="00CB7270"/>
    <w:rsid w:val="00CE1129"/>
    <w:rsid w:val="00D00AAD"/>
    <w:rsid w:val="00D04F00"/>
    <w:rsid w:val="00D14DD9"/>
    <w:rsid w:val="00D22671"/>
    <w:rsid w:val="00D27902"/>
    <w:rsid w:val="00D31E58"/>
    <w:rsid w:val="00D34EB7"/>
    <w:rsid w:val="00D417C9"/>
    <w:rsid w:val="00D46BD5"/>
    <w:rsid w:val="00D47D61"/>
    <w:rsid w:val="00D66B2A"/>
    <w:rsid w:val="00D845AC"/>
    <w:rsid w:val="00D905C2"/>
    <w:rsid w:val="00DA33D6"/>
    <w:rsid w:val="00DE5D05"/>
    <w:rsid w:val="00DF6BDB"/>
    <w:rsid w:val="00DF720E"/>
    <w:rsid w:val="00E03E1D"/>
    <w:rsid w:val="00E06A0A"/>
    <w:rsid w:val="00E27770"/>
    <w:rsid w:val="00E72660"/>
    <w:rsid w:val="00E83848"/>
    <w:rsid w:val="00E86736"/>
    <w:rsid w:val="00E95021"/>
    <w:rsid w:val="00EA7499"/>
    <w:rsid w:val="00ED15CE"/>
    <w:rsid w:val="00ED64E0"/>
    <w:rsid w:val="00EE51EB"/>
    <w:rsid w:val="00EF0E3D"/>
    <w:rsid w:val="00EF1463"/>
    <w:rsid w:val="00EF6341"/>
    <w:rsid w:val="00EF731B"/>
    <w:rsid w:val="00F03804"/>
    <w:rsid w:val="00F113AA"/>
    <w:rsid w:val="00F11B38"/>
    <w:rsid w:val="00F15778"/>
    <w:rsid w:val="00F16836"/>
    <w:rsid w:val="00F24A16"/>
    <w:rsid w:val="00F42E31"/>
    <w:rsid w:val="00F46A44"/>
    <w:rsid w:val="00F63C3E"/>
    <w:rsid w:val="00F66C2B"/>
    <w:rsid w:val="00F706D0"/>
    <w:rsid w:val="00F74280"/>
    <w:rsid w:val="00F75029"/>
    <w:rsid w:val="00F75D55"/>
    <w:rsid w:val="00F827E9"/>
    <w:rsid w:val="00F84B3D"/>
    <w:rsid w:val="00F87D86"/>
    <w:rsid w:val="00F93843"/>
    <w:rsid w:val="00F94F22"/>
    <w:rsid w:val="00FB3CDF"/>
    <w:rsid w:val="00FB650D"/>
    <w:rsid w:val="00FD2AD3"/>
    <w:rsid w:val="00FD36B5"/>
    <w:rsid w:val="00FD5C70"/>
    <w:rsid w:val="00FE0C97"/>
    <w:rsid w:val="01440056"/>
    <w:rsid w:val="0168325F"/>
    <w:rsid w:val="029F7154"/>
    <w:rsid w:val="030F42DA"/>
    <w:rsid w:val="09B207FB"/>
    <w:rsid w:val="0FE93DBD"/>
    <w:rsid w:val="10D06993"/>
    <w:rsid w:val="12372F73"/>
    <w:rsid w:val="13AD3AA6"/>
    <w:rsid w:val="152B3E4E"/>
    <w:rsid w:val="179C57B0"/>
    <w:rsid w:val="1B4B5C73"/>
    <w:rsid w:val="1EA062D6"/>
    <w:rsid w:val="21A655A1"/>
    <w:rsid w:val="23816FC2"/>
    <w:rsid w:val="23CE4496"/>
    <w:rsid w:val="27424700"/>
    <w:rsid w:val="2A8F792B"/>
    <w:rsid w:val="301400E1"/>
    <w:rsid w:val="339E71E4"/>
    <w:rsid w:val="350A359B"/>
    <w:rsid w:val="36274EBB"/>
    <w:rsid w:val="365C4637"/>
    <w:rsid w:val="369209DE"/>
    <w:rsid w:val="39AF7699"/>
    <w:rsid w:val="3A8D5B84"/>
    <w:rsid w:val="3EEB6BA4"/>
    <w:rsid w:val="471C5AEB"/>
    <w:rsid w:val="480A0199"/>
    <w:rsid w:val="48ED7FDE"/>
    <w:rsid w:val="4B005883"/>
    <w:rsid w:val="4BE807F1"/>
    <w:rsid w:val="4CA4528E"/>
    <w:rsid w:val="4CFF6DFF"/>
    <w:rsid w:val="4DAC647D"/>
    <w:rsid w:val="500703DD"/>
    <w:rsid w:val="54F30554"/>
    <w:rsid w:val="54F37DD2"/>
    <w:rsid w:val="561B5195"/>
    <w:rsid w:val="57392849"/>
    <w:rsid w:val="6087615B"/>
    <w:rsid w:val="620677CB"/>
    <w:rsid w:val="67996DFF"/>
    <w:rsid w:val="69C47181"/>
    <w:rsid w:val="6B115341"/>
    <w:rsid w:val="74A20387"/>
    <w:rsid w:val="767D14D5"/>
    <w:rsid w:val="76C92E49"/>
    <w:rsid w:val="78D84FF4"/>
    <w:rsid w:val="7AFD6D29"/>
    <w:rsid w:val="7C865339"/>
    <w:rsid w:val="7FBC323A"/>
    <w:rsid w:val="EBFD6E22"/>
    <w:rsid w:val="EDFF35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numPr>
        <w:ilvl w:val="0"/>
        <w:numId w:val="1"/>
      </w:numPr>
      <w:spacing w:line="560" w:lineRule="exact"/>
      <w:outlineLvl w:val="0"/>
    </w:pPr>
    <w:rPr>
      <w:rFonts w:ascii="仿宋" w:hAnsi="仿宋" w:eastAsia="仿宋" w:cs="Times New Roman"/>
      <w:b/>
      <w:bCs/>
      <w:kern w:val="44"/>
      <w:sz w:val="28"/>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qFormat/>
    <w:uiPriority w:val="0"/>
    <w:pPr>
      <w:ind w:left="100" w:leftChars="2500"/>
    </w:pPr>
  </w:style>
  <w:style w:type="paragraph" w:styleId="4">
    <w:name w:val="Balloon Text"/>
    <w:basedOn w:val="1"/>
    <w:link w:val="17"/>
    <w:semiHidden/>
    <w:unhideWhenUsed/>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firstLine="420" w:firstLineChars="200"/>
    </w:pPr>
  </w:style>
  <w:style w:type="character" w:customStyle="1" w:styleId="11">
    <w:name w:val="日期 字符"/>
    <w:basedOn w:val="9"/>
    <w:link w:val="3"/>
    <w:qFormat/>
    <w:uiPriority w:val="0"/>
    <w:rPr>
      <w:kern w:val="2"/>
      <w:sz w:val="21"/>
      <w:szCs w:val="24"/>
    </w:rPr>
  </w:style>
  <w:style w:type="character" w:customStyle="1" w:styleId="12">
    <w:name w:val="标题 1 字符"/>
    <w:basedOn w:val="9"/>
    <w:qFormat/>
    <w:uiPriority w:val="0"/>
    <w:rPr>
      <w:b/>
      <w:bCs/>
      <w:kern w:val="44"/>
      <w:sz w:val="44"/>
      <w:szCs w:val="44"/>
    </w:rPr>
  </w:style>
  <w:style w:type="character" w:customStyle="1" w:styleId="13">
    <w:name w:val="标题 1 字符1"/>
    <w:link w:val="2"/>
    <w:qFormat/>
    <w:uiPriority w:val="0"/>
    <w:rPr>
      <w:rFonts w:ascii="仿宋" w:hAnsi="仿宋" w:eastAsia="仿宋" w:cs="Times New Roman"/>
      <w:b/>
      <w:bCs/>
      <w:kern w:val="44"/>
      <w:sz w:val="28"/>
      <w:szCs w:val="28"/>
    </w:rPr>
  </w:style>
  <w:style w:type="character" w:customStyle="1" w:styleId="14">
    <w:name w:val="fontstyle11"/>
    <w:basedOn w:val="9"/>
    <w:qFormat/>
    <w:uiPriority w:val="0"/>
    <w:rPr>
      <w:rFonts w:ascii="仿宋_GB2312" w:hAnsi="仿宋_GB2312" w:eastAsia="仿宋_GB2312" w:cs="仿宋_GB2312"/>
      <w:color w:val="000000"/>
      <w:sz w:val="32"/>
      <w:szCs w:val="32"/>
    </w:rPr>
  </w:style>
  <w:style w:type="character" w:customStyle="1" w:styleId="15">
    <w:name w:val="页眉 字符"/>
    <w:basedOn w:val="9"/>
    <w:link w:val="6"/>
    <w:qFormat/>
    <w:uiPriority w:val="0"/>
    <w:rPr>
      <w:kern w:val="2"/>
      <w:sz w:val="18"/>
      <w:szCs w:val="18"/>
    </w:rPr>
  </w:style>
  <w:style w:type="character" w:customStyle="1" w:styleId="16">
    <w:name w:val="页脚 字符"/>
    <w:basedOn w:val="9"/>
    <w:link w:val="5"/>
    <w:qFormat/>
    <w:uiPriority w:val="0"/>
    <w:rPr>
      <w:kern w:val="2"/>
      <w:sz w:val="18"/>
      <w:szCs w:val="18"/>
    </w:rPr>
  </w:style>
  <w:style w:type="character" w:customStyle="1" w:styleId="17">
    <w:name w:val="批注框文本 字符"/>
    <w:basedOn w:val="9"/>
    <w:link w:val="4"/>
    <w:semiHidden/>
    <w:qFormat/>
    <w:uiPriority w:val="0"/>
    <w:rPr>
      <w:kern w:val="2"/>
      <w:sz w:val="18"/>
      <w:szCs w:val="18"/>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4055</Words>
  <Characters>4404</Characters>
  <Lines>46</Lines>
  <Paragraphs>12</Paragraphs>
  <TotalTime>1</TotalTime>
  <ScaleCrop>false</ScaleCrop>
  <LinksUpToDate>false</LinksUpToDate>
  <CharactersWithSpaces>4430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2021-08-02T17:29:00Z</dcterms:created>
  <dc:creator>Administrator</dc:creator>
  <cp:lastModifiedBy>tsw1</cp:lastModifiedBy>
  <cp:lastPrinted>2025-05-20T01:37:00Z</cp:lastPrinted>
  <dcterms:modified xsi:type="dcterms:W3CDTF">2025-05-20T02:34:13Z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A150FCB159584A6280C0110D3E3C389F_13</vt:lpwstr>
  </property>
  <property fmtid="{D5CDD505-2E9C-101B-9397-08002B2CF9AE}" pid="4" name="KSOTemplateDocerSaveRecord">
    <vt:lpwstr>eyJoZGlkIjoiNzJiZjg1N2RhNjY1NTFjZWIxZTVjYjI4YmE4ODBlYjgifQ==</vt:lpwstr>
  </property>
</Properties>
</file>